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6A48B9" w:rsidRPr="005F563F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6A48B9" w:rsidRPr="005F563F" w:rsidTr="00A76BFA">
        <w:trPr>
          <w:trHeight w:val="761"/>
        </w:trPr>
        <w:tc>
          <w:tcPr>
            <w:tcW w:w="7867" w:type="dxa"/>
          </w:tcPr>
          <w:p w:rsidR="006A48B9" w:rsidRPr="005F563F" w:rsidRDefault="006A48B9" w:rsidP="00A76B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6A48B9" w:rsidRPr="005F563F" w:rsidRDefault="006A48B9" w:rsidP="00A76B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A48B9" w:rsidRPr="005F563F" w:rsidRDefault="006A48B9" w:rsidP="00A76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A48B9" w:rsidRPr="005F563F" w:rsidTr="00A76BFA">
        <w:trPr>
          <w:trHeight w:val="761"/>
        </w:trPr>
        <w:tc>
          <w:tcPr>
            <w:tcW w:w="7867" w:type="dxa"/>
          </w:tcPr>
          <w:p w:rsidR="00A10188" w:rsidRPr="00A10188" w:rsidRDefault="006A48B9" w:rsidP="00A101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:</w:t>
            </w:r>
            <w:r w:rsidR="00A10188" w:rsidRPr="00A1018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:balle</w:t>
            </w:r>
            <w:proofErr w:type="gramEnd"/>
            <w:r w:rsidR="00A10188" w:rsidRPr="00A1018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 tennis de table programmable pour s’entrainer </w:t>
            </w:r>
          </w:p>
          <w:p w:rsidR="006A48B9" w:rsidRDefault="00A10188" w:rsidP="00A101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1018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seul(e)</w:t>
            </w:r>
          </w:p>
        </w:tc>
      </w:tr>
    </w:tbl>
    <w:p w:rsidR="006A48B9" w:rsidRPr="005F563F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A48B9" w:rsidTr="00A76BFA">
        <w:trPr>
          <w:trHeight w:val="1140"/>
          <w:jc w:val="center"/>
        </w:trPr>
        <w:tc>
          <w:tcPr>
            <w:tcW w:w="4606" w:type="dxa"/>
          </w:tcPr>
          <w:p w:rsidR="006A48B9" w:rsidRDefault="006A48B9" w:rsidP="00A76BFA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2D5D8" wp14:editId="3672945D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6A48B9" w:rsidRDefault="006A48B9" w:rsidP="00A76BFA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285E8" wp14:editId="2FC7F21E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Pr="003D2E8F" w:rsidRDefault="006A48B9" w:rsidP="00891AF2">
      <w:pPr>
        <w:spacing w:after="0" w:line="240" w:lineRule="auto"/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</w:pP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Document d’étape </w:t>
      </w:r>
      <w:r w:rsidR="00891AF2" w:rsidRPr="003D2E8F">
        <w:rPr>
          <w:rFonts w:ascii="Comic Sans MS" w:eastAsia="Times New Roman" w:hAnsi="Comic Sans MS" w:cs="Arial"/>
          <w:i/>
          <w:sz w:val="36"/>
          <w:szCs w:val="36"/>
          <w:u w:val="single"/>
          <w:lang w:eastAsia="fr-FR"/>
        </w:rPr>
        <w:t xml:space="preserve">N° 3 </w:t>
      </w: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: analyse de</w:t>
      </w:r>
      <w:r w:rsid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 xml:space="preserve">s </w:t>
      </w: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environnement</w:t>
      </w:r>
      <w:r w:rsid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s</w:t>
      </w: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 xml:space="preserve"> du PFR</w:t>
      </w:r>
    </w:p>
    <w:p w:rsidR="002F014C" w:rsidRPr="003D2E8F" w:rsidRDefault="002F014C" w:rsidP="002F014C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36"/>
        </w:rPr>
      </w:pPr>
      <w:r w:rsidRPr="003D2E8F">
        <w:rPr>
          <w:rFonts w:ascii="Comic Sans MS" w:eastAsia="Calibri" w:hAnsi="Comic Sans MS" w:cs="Times New Roman"/>
          <w:b/>
          <w:i/>
          <w:sz w:val="14"/>
          <w:szCs w:val="36"/>
        </w:rPr>
        <w:t xml:space="preserve">La rédaction de ce  document consiste à retranscrire  de manière  formalisée l’application à votre PFR de concepts relatifs au thème désigné par le titre. </w:t>
      </w:r>
    </w:p>
    <w:p w:rsidR="006A48B9" w:rsidRPr="002100C0" w:rsidRDefault="006A48B9" w:rsidP="006A48B9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6A48B9" w:rsidRPr="002100C0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6A48B9" w:rsidRPr="002100C0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2100C0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</w:tblGrid>
      <w:tr w:rsidR="002100C0" w:rsidRPr="002100C0" w:rsidTr="00A76BFA">
        <w:trPr>
          <w:trHeight w:val="314"/>
        </w:trPr>
        <w:tc>
          <w:tcPr>
            <w:tcW w:w="6531" w:type="dxa"/>
          </w:tcPr>
          <w:p w:rsidR="006A48B9" w:rsidRPr="002100C0" w:rsidRDefault="006A48B9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00C0">
              <w:rPr>
                <w:rFonts w:ascii="Arial Narrow" w:hAnsi="Arial Narrow"/>
                <w:b/>
                <w:sz w:val="18"/>
                <w:szCs w:val="18"/>
              </w:rPr>
              <w:t xml:space="preserve">Compétences à acquérir 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Rechercher les tendances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Souligner les spécificités de l’environnement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/>
                <w:sz w:val="18"/>
                <w:szCs w:val="18"/>
              </w:rPr>
            </w:pPr>
            <w:r w:rsidRPr="00442619">
              <w:rPr>
                <w:rFonts w:ascii="Arial Narrow" w:hAnsi="Arial Narrow"/>
                <w:sz w:val="18"/>
                <w:szCs w:val="18"/>
              </w:rPr>
              <w:t>Décrypter les influences</w:t>
            </w:r>
          </w:p>
        </w:tc>
      </w:tr>
    </w:tbl>
    <w:p w:rsidR="006A48B9" w:rsidRDefault="006A48B9" w:rsidP="006A48B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D2E8F" w:rsidRDefault="003D2E8F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D2E8F" w:rsidRDefault="003D2E8F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D2E8F" w:rsidRDefault="003D2E8F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lastRenderedPageBreak/>
        <w:drawing>
          <wp:inline distT="0" distB="0" distL="0" distR="0" wp14:anchorId="24A044C3" wp14:editId="337ABAD7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8B9" w:rsidRDefault="006A48B9" w:rsidP="006A48B9"/>
    <w:p w:rsidR="003D2E8F" w:rsidRDefault="003D2E8F" w:rsidP="00CD283B">
      <w:pPr>
        <w:rPr>
          <w:rFonts w:ascii="Comic Sans MS" w:hAnsi="Comic Sans MS"/>
        </w:rPr>
      </w:pPr>
    </w:p>
    <w:p w:rsidR="003D2E8F" w:rsidRDefault="003D2E8F" w:rsidP="00CD283B">
      <w:pPr>
        <w:rPr>
          <w:rFonts w:ascii="Comic Sans MS" w:hAnsi="Comic Sans MS"/>
        </w:rPr>
      </w:pPr>
    </w:p>
    <w:p w:rsidR="00CD283B" w:rsidRDefault="00CD283B" w:rsidP="00CD283B">
      <w:pPr>
        <w:rPr>
          <w:rFonts w:ascii="Comic Sans MS" w:hAnsi="Comic Sans MS"/>
        </w:rPr>
      </w:pPr>
      <w:r w:rsidRPr="0092073F">
        <w:rPr>
          <w:rFonts w:ascii="Comic Sans MS" w:hAnsi="Comic Sans MS"/>
        </w:rPr>
        <w:t xml:space="preserve">Analyse </w:t>
      </w:r>
      <w:proofErr w:type="gramStart"/>
      <w:r w:rsidRPr="0092073F">
        <w:rPr>
          <w:rFonts w:ascii="Comic Sans MS" w:hAnsi="Comic Sans MS"/>
        </w:rPr>
        <w:t>du</w:t>
      </w:r>
      <w:proofErr w:type="gramEnd"/>
      <w:r w:rsidRPr="0092073F">
        <w:rPr>
          <w:rFonts w:ascii="Comic Sans MS" w:hAnsi="Comic Sans MS"/>
        </w:rPr>
        <w:t xml:space="preserve"> macro environnement du lancement commercial du PFR</w:t>
      </w:r>
      <w:r>
        <w:rPr>
          <w:rFonts w:ascii="Comic Sans MS" w:hAnsi="Comic Sans MS"/>
        </w:rPr>
        <w:t xml:space="preserve"> : citer et décrypter deux tendances </w:t>
      </w:r>
      <w:r w:rsidRPr="00F271CA">
        <w:rPr>
          <w:rFonts w:ascii="Comic Sans MS" w:hAnsi="Comic Sans MS"/>
          <w:b/>
        </w:rPr>
        <w:t>fortement en lien</w:t>
      </w:r>
      <w:r>
        <w:rPr>
          <w:rFonts w:ascii="Comic Sans MS" w:hAnsi="Comic Sans MS"/>
        </w:rPr>
        <w:t xml:space="preserve"> avec le marché générique </w:t>
      </w:r>
    </w:p>
    <w:p w:rsidR="003D2E8F" w:rsidRDefault="003D2E8F" w:rsidP="00CD283B">
      <w:pPr>
        <w:shd w:val="clear" w:color="auto" w:fill="FFFFFF"/>
        <w:spacing w:after="160" w:line="240" w:lineRule="auto"/>
        <w:rPr>
          <w:rFonts w:ascii="Comic Sans MS" w:hAnsi="Comic Sans MS"/>
        </w:rPr>
      </w:pPr>
    </w:p>
    <w:p w:rsidR="00CD283B" w:rsidRDefault="00CD283B" w:rsidP="00CD283B">
      <w:pPr>
        <w:shd w:val="clear" w:color="auto" w:fill="FFFFFF"/>
        <w:spacing w:after="160" w:line="240" w:lineRule="auto"/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92073F">
        <w:rPr>
          <w:rFonts w:ascii="Comic Sans MS" w:hAnsi="Comic Sans MS"/>
        </w:rPr>
        <w:t xml:space="preserve">Analyse du </w:t>
      </w:r>
      <w:r>
        <w:rPr>
          <w:rFonts w:ascii="Comic Sans MS" w:hAnsi="Comic Sans MS"/>
        </w:rPr>
        <w:t xml:space="preserve">micro </w:t>
      </w:r>
      <w:r w:rsidRPr="0092073F">
        <w:rPr>
          <w:rFonts w:ascii="Comic Sans MS" w:hAnsi="Comic Sans MS"/>
        </w:rPr>
        <w:t xml:space="preserve">environnement du lancement commercial du PFR : citer et décrypter </w:t>
      </w:r>
      <w:r>
        <w:rPr>
          <w:rFonts w:ascii="Comic Sans MS" w:hAnsi="Comic Sans MS"/>
        </w:rPr>
        <w:t xml:space="preserve">le rôle de </w:t>
      </w:r>
      <w:r w:rsidRPr="0092073F">
        <w:rPr>
          <w:rFonts w:ascii="Comic Sans MS" w:hAnsi="Comic Sans MS"/>
        </w:rPr>
        <w:t xml:space="preserve">deux </w:t>
      </w:r>
      <w:r>
        <w:rPr>
          <w:rFonts w:ascii="Comic Sans MS" w:hAnsi="Comic Sans MS"/>
        </w:rPr>
        <w:t>acteurs</w:t>
      </w:r>
      <w:r w:rsidRPr="0092073F">
        <w:rPr>
          <w:rFonts w:ascii="Comic Sans MS" w:hAnsi="Comic Sans MS"/>
        </w:rPr>
        <w:t xml:space="preserve"> </w:t>
      </w:r>
      <w:r w:rsidRPr="00F271CA">
        <w:rPr>
          <w:rFonts w:ascii="Comic Sans MS" w:hAnsi="Comic Sans MS"/>
          <w:b/>
        </w:rPr>
        <w:t>vraiment spécifiques</w:t>
      </w:r>
      <w:r>
        <w:rPr>
          <w:rFonts w:ascii="Comic Sans MS" w:hAnsi="Comic Sans MS"/>
        </w:rPr>
        <w:t xml:space="preserve"> à l’environnement du PFR et </w:t>
      </w:r>
      <w:r w:rsidRPr="00E171CC">
        <w:rPr>
          <w:rFonts w:ascii="Comic Sans MS" w:hAnsi="Comic Sans MS"/>
          <w:i/>
        </w:rPr>
        <w:t>non encore étudié</w:t>
      </w:r>
      <w:r w:rsidR="00F271CA">
        <w:rPr>
          <w:rFonts w:ascii="Comic Sans MS" w:hAnsi="Comic Sans MS"/>
          <w:i/>
        </w:rPr>
        <w:t>s dans les précédentes étapes (</w:t>
      </w:r>
      <w:r w:rsidRPr="00E171CC">
        <w:rPr>
          <w:rFonts w:ascii="Comic Sans MS" w:hAnsi="Comic Sans MS"/>
          <w:i/>
        </w:rPr>
        <w:t>pas les clients, les concurrents etc.)</w:t>
      </w:r>
    </w:p>
    <w:p w:rsidR="00CD283B" w:rsidRPr="002100C0" w:rsidRDefault="00CD283B" w:rsidP="00CD283B">
      <w:pPr>
        <w:shd w:val="clear" w:color="auto" w:fill="FFFFFF"/>
        <w:spacing w:after="160" w:line="240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2100C0">
        <w:rPr>
          <w:rFonts w:ascii="Comic Sans MS" w:eastAsia="Calibri" w:hAnsi="Comic Sans MS" w:cs="Times New Roman"/>
          <w:sz w:val="24"/>
          <w:szCs w:val="24"/>
        </w:rPr>
        <w:t>Avant de remettre ce document, vérifier que</w:t>
      </w:r>
      <w:r w:rsidR="00F271CA" w:rsidRPr="002100C0">
        <w:rPr>
          <w:rFonts w:ascii="Comic Sans MS" w:eastAsia="Calibri" w:hAnsi="Comic Sans MS" w:cs="Times New Roman"/>
          <w:sz w:val="24"/>
          <w:szCs w:val="24"/>
        </w:rPr>
        <w:t> :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 xml:space="preserve">Sa présentation </w:t>
      </w:r>
      <w:r w:rsidR="00891AF2" w:rsidRPr="002100C0">
        <w:rPr>
          <w:rFonts w:ascii="Comic Sans MS" w:eastAsia="Calibri" w:hAnsi="Comic Sans MS" w:cs="Times New Roman"/>
          <w:sz w:val="16"/>
          <w:szCs w:val="24"/>
        </w:rPr>
        <w:t>est très soignée (pas d’élément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manuscrit sauf autorisation),</w:t>
      </w:r>
    </w:p>
    <w:p w:rsidR="00F271CA" w:rsidRPr="002100C0" w:rsidRDefault="00F271CA" w:rsidP="00F271CA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fautes d’orthographe et de syntaxe sont inexistantes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lastRenderedPageBreak/>
        <w:t xml:space="preserve">Les tendances envisagées concernent </w:t>
      </w:r>
      <w:r w:rsidRPr="002100C0">
        <w:rPr>
          <w:rFonts w:ascii="Comic Sans MS" w:eastAsia="Calibri" w:hAnsi="Comic Sans MS" w:cs="Times New Roman"/>
          <w:i/>
          <w:sz w:val="16"/>
          <w:szCs w:val="24"/>
        </w:rPr>
        <w:t>vraiment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le PFR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 xml:space="preserve">Les acteurs sont </w:t>
      </w:r>
      <w:r w:rsidRPr="002100C0">
        <w:rPr>
          <w:rFonts w:ascii="Comic Sans MS" w:eastAsia="Calibri" w:hAnsi="Comic Sans MS" w:cs="Times New Roman"/>
          <w:i/>
          <w:sz w:val="16"/>
          <w:szCs w:val="24"/>
        </w:rPr>
        <w:t>vraiment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 spécifiques, cités de manière non générale, avec des exemples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opportunités et menaces décryptées sont externes et non relatives à des points forts ou faibles du</w:t>
      </w:r>
      <w:r w:rsidR="00F271CA" w:rsidRPr="002100C0">
        <w:rPr>
          <w:rFonts w:ascii="Comic Sans MS" w:eastAsia="Calibri" w:hAnsi="Comic Sans MS" w:cs="Times New Roman"/>
          <w:sz w:val="16"/>
          <w:szCs w:val="24"/>
        </w:rPr>
        <w:t xml:space="preserve"> PFR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sources sont titrées et datées</w:t>
      </w:r>
      <w:r w:rsidRPr="002100C0">
        <w:rPr>
          <w:rFonts w:ascii="Comic Sans MS" w:eastAsia="Calibri" w:hAnsi="Comic Sans MS" w:cs="Times New Roman"/>
          <w:sz w:val="18"/>
          <w:szCs w:val="24"/>
        </w:rPr>
        <w:t>.</w:t>
      </w:r>
    </w:p>
    <w:p w:rsidR="00CD283B" w:rsidRPr="003D2E8F" w:rsidRDefault="00CD283B" w:rsidP="00CD283B">
      <w:pPr>
        <w:shd w:val="clear" w:color="auto" w:fill="FFFFFF"/>
        <w:spacing w:after="160" w:line="240" w:lineRule="auto"/>
        <w:ind w:left="720"/>
        <w:contextualSpacing/>
        <w:jc w:val="both"/>
        <w:rPr>
          <w:rFonts w:ascii="Comic Sans MS" w:eastAsia="Calibri" w:hAnsi="Comic Sans MS" w:cs="Times New Roman"/>
          <w:b/>
          <w:sz w:val="16"/>
          <w:szCs w:val="24"/>
        </w:rPr>
      </w:pPr>
      <w:r w:rsidRPr="003D2E8F">
        <w:rPr>
          <w:rFonts w:ascii="Comic Sans MS" w:eastAsia="Calibri" w:hAnsi="Comic Sans MS" w:cs="Times New Roman"/>
          <w:b/>
          <w:sz w:val="16"/>
          <w:szCs w:val="24"/>
        </w:rPr>
        <w:t>En l’absence d</w:t>
      </w:r>
      <w:r w:rsidR="00891AF2" w:rsidRPr="003D2E8F">
        <w:rPr>
          <w:rFonts w:ascii="Comic Sans MS" w:eastAsia="Calibri" w:hAnsi="Comic Sans MS" w:cs="Times New Roman"/>
          <w:b/>
          <w:sz w:val="16"/>
          <w:szCs w:val="24"/>
        </w:rPr>
        <w:t>’un de ces éléments le document</w:t>
      </w:r>
      <w:r w:rsidRPr="003D2E8F">
        <w:rPr>
          <w:rFonts w:ascii="Comic Sans MS" w:eastAsia="Calibri" w:hAnsi="Comic Sans MS" w:cs="Times New Roman"/>
          <w:b/>
          <w:sz w:val="16"/>
          <w:szCs w:val="24"/>
        </w:rPr>
        <w:t xml:space="preserve"> ne sera pas lu</w:t>
      </w:r>
      <w:r w:rsidR="00F271CA" w:rsidRPr="003D2E8F">
        <w:rPr>
          <w:rFonts w:ascii="Comic Sans MS" w:eastAsia="Calibri" w:hAnsi="Comic Sans MS" w:cs="Times New Roman"/>
          <w:b/>
          <w:sz w:val="16"/>
          <w:szCs w:val="24"/>
        </w:rPr>
        <w:t>.</w:t>
      </w:r>
    </w:p>
    <w:p w:rsidR="0092073F" w:rsidRPr="003D2E8F" w:rsidRDefault="0092073F">
      <w:pPr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504"/>
        <w:gridCol w:w="2013"/>
        <w:gridCol w:w="6075"/>
      </w:tblGrid>
      <w:tr w:rsidR="006A48B9" w:rsidTr="00D3666A">
        <w:tc>
          <w:tcPr>
            <w:tcW w:w="2376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Tendances</w:t>
            </w:r>
          </w:p>
        </w:tc>
        <w:tc>
          <w:tcPr>
            <w:tcW w:w="1504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Description</w:t>
            </w:r>
          </w:p>
        </w:tc>
        <w:tc>
          <w:tcPr>
            <w:tcW w:w="2013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 ou menace</w:t>
            </w:r>
          </w:p>
        </w:tc>
        <w:tc>
          <w:tcPr>
            <w:tcW w:w="2437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</w:tr>
      <w:tr w:rsidR="006A48B9" w:rsidTr="003D2E8F">
        <w:trPr>
          <w:trHeight w:val="464"/>
        </w:trPr>
        <w:tc>
          <w:tcPr>
            <w:tcW w:w="2376" w:type="dxa"/>
          </w:tcPr>
          <w:p w:rsidR="006A48B9" w:rsidRDefault="00AF2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L’évolution du tennis de table</w:t>
            </w:r>
            <w:r w:rsidR="002A3BD8">
              <w:rPr>
                <w:rFonts w:ascii="Comic Sans MS" w:hAnsi="Comic Sans MS"/>
              </w:rPr>
              <w:t xml:space="preserve"> et les motivations des pratiquants</w:t>
            </w:r>
          </w:p>
        </w:tc>
        <w:tc>
          <w:tcPr>
            <w:tcW w:w="1504" w:type="dxa"/>
          </w:tcPr>
          <w:p w:rsidR="002A3BD8" w:rsidRPr="002A3BD8" w:rsidRDefault="002A3BD8" w:rsidP="002A3B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nombre de pratiquants est stable mais </w:t>
            </w:r>
          </w:p>
          <w:p w:rsidR="002A3BD8" w:rsidRPr="002A3BD8" w:rsidRDefault="002A3BD8" w:rsidP="002A3BD8">
            <w:pPr>
              <w:rPr>
                <w:rFonts w:ascii="Comic Sans MS" w:hAnsi="Comic Sans MS"/>
              </w:rPr>
            </w:pPr>
            <w:r w:rsidRPr="002A3BD8">
              <w:rPr>
                <w:rFonts w:ascii="Comic Sans MS" w:hAnsi="Comic Sans MS"/>
              </w:rPr>
              <w:t>40% des néo-licenciés font</w:t>
            </w:r>
          </w:p>
          <w:p w:rsidR="002A3BD8" w:rsidRPr="002A3BD8" w:rsidRDefault="002A3BD8" w:rsidP="002A3BD8">
            <w:pPr>
              <w:rPr>
                <w:rFonts w:ascii="Comic Sans MS" w:hAnsi="Comic Sans MS"/>
              </w:rPr>
            </w:pPr>
            <w:r w:rsidRPr="002A3BD8">
              <w:rPr>
                <w:rFonts w:ascii="Comic Sans MS" w:hAnsi="Comic Sans MS"/>
              </w:rPr>
              <w:t>de la compétition</w:t>
            </w:r>
          </w:p>
          <w:p w:rsidR="006A48B9" w:rsidRDefault="002A3BD8" w:rsidP="002A3BD8">
            <w:pPr>
              <w:rPr>
                <w:rFonts w:ascii="Comic Sans MS" w:hAnsi="Comic Sans MS"/>
              </w:rPr>
            </w:pPr>
            <w:r w:rsidRPr="002A3BD8">
              <w:rPr>
                <w:rFonts w:ascii="Comic Sans MS" w:hAnsi="Comic Sans MS"/>
              </w:rPr>
              <w:t>(85% en moyenne)</w:t>
            </w:r>
            <w:r>
              <w:rPr>
                <w:rFonts w:ascii="Comic Sans MS" w:hAnsi="Comic Sans MS"/>
              </w:rPr>
              <w:t xml:space="preserve"> ils auront donc moins envie de progresser</w:t>
            </w:r>
          </w:p>
        </w:tc>
        <w:tc>
          <w:tcPr>
            <w:tcW w:w="2013" w:type="dxa"/>
          </w:tcPr>
          <w:p w:rsidR="006A48B9" w:rsidRDefault="002A3B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</w:t>
            </w:r>
          </w:p>
        </w:tc>
        <w:tc>
          <w:tcPr>
            <w:tcW w:w="2437" w:type="dxa"/>
          </w:tcPr>
          <w:p w:rsidR="006A48B9" w:rsidRDefault="002A3BD8">
            <w:pPr>
              <w:rPr>
                <w:rFonts w:ascii="Comic Sans MS" w:hAnsi="Comic Sans MS"/>
              </w:rPr>
            </w:pPr>
            <w:r w:rsidRPr="002A3BD8">
              <w:rPr>
                <w:rFonts w:ascii="Comic Sans MS" w:hAnsi="Comic Sans MS"/>
              </w:rPr>
              <w:t>http://tennis2table.com/wp-content/uploads/2019/12/LeTTetMoi_complet_2019.pdf</w:t>
            </w:r>
          </w:p>
        </w:tc>
      </w:tr>
      <w:tr w:rsidR="006A48B9" w:rsidRPr="002A3BD8" w:rsidTr="003D2E8F">
        <w:trPr>
          <w:trHeight w:val="428"/>
        </w:trPr>
        <w:tc>
          <w:tcPr>
            <w:tcW w:w="2376" w:type="dxa"/>
          </w:tcPr>
          <w:p w:rsidR="006A48B9" w:rsidRDefault="00AF2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tendance aux objets connectés</w:t>
            </w:r>
          </w:p>
        </w:tc>
        <w:tc>
          <w:tcPr>
            <w:tcW w:w="1504" w:type="dxa"/>
          </w:tcPr>
          <w:p w:rsidR="006A48B9" w:rsidRDefault="002A3BD8" w:rsidP="002A3BD8">
            <w:pPr>
              <w:rPr>
                <w:rFonts w:ascii="Comic Sans MS" w:hAnsi="Comic Sans MS"/>
              </w:rPr>
            </w:pPr>
            <w:r w:rsidRPr="002A3BD8">
              <w:rPr>
                <w:rFonts w:ascii="Comic Sans MS" w:hAnsi="Comic Sans MS"/>
              </w:rPr>
              <w:t xml:space="preserve">Le sport connecté en pleine </w:t>
            </w:r>
            <w:r w:rsidRPr="002A3BD8">
              <w:rPr>
                <w:rFonts w:ascii="Comic Sans MS" w:hAnsi="Comic Sans MS"/>
              </w:rPr>
              <w:lastRenderedPageBreak/>
              <w:t>forme</w:t>
            </w:r>
            <w:r>
              <w:rPr>
                <w:rFonts w:ascii="Comic Sans MS" w:hAnsi="Comic Sans MS"/>
              </w:rPr>
              <w:t> : q</w:t>
            </w:r>
            <w:r w:rsidRPr="002A3BD8">
              <w:rPr>
                <w:rFonts w:ascii="Comic Sans MS" w:hAnsi="Comic Sans MS"/>
              </w:rPr>
              <w:t>uatre Français sur dix utilisent des objets connectés dans le cadre de leurs activités physiques</w:t>
            </w:r>
          </w:p>
        </w:tc>
        <w:tc>
          <w:tcPr>
            <w:tcW w:w="2013" w:type="dxa"/>
          </w:tcPr>
          <w:p w:rsidR="006A48B9" w:rsidRDefault="002A3B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opportunité</w:t>
            </w:r>
          </w:p>
        </w:tc>
        <w:tc>
          <w:tcPr>
            <w:tcW w:w="2437" w:type="dxa"/>
          </w:tcPr>
          <w:p w:rsidR="006A48B9" w:rsidRPr="002A3BD8" w:rsidRDefault="001E7F90">
            <w:pPr>
              <w:rPr>
                <w:rFonts w:ascii="Comic Sans MS" w:hAnsi="Comic Sans MS"/>
              </w:rPr>
            </w:pPr>
            <w:hyperlink r:id="rId9" w:history="1">
              <w:r w:rsidR="002A3BD8" w:rsidRPr="002A3BD8">
                <w:rPr>
                  <w:rStyle w:val="Lienhypertexte"/>
                  <w:rFonts w:ascii="Comic Sans MS" w:hAnsi="Comic Sans MS"/>
                </w:rPr>
                <w:t>https://www.lexpress.fr/tendances/soin-homme/le-sport-connecte-en-pleine-forme_2095618.html</w:t>
              </w:r>
            </w:hyperlink>
            <w:r w:rsidR="002A3BD8" w:rsidRPr="002A3BD8">
              <w:rPr>
                <w:rFonts w:ascii="Comic Sans MS" w:hAnsi="Comic Sans MS"/>
              </w:rPr>
              <w:t xml:space="preserve"> Août 2019</w:t>
            </w:r>
          </w:p>
        </w:tc>
      </w:tr>
    </w:tbl>
    <w:p w:rsidR="0092073F" w:rsidRPr="002A3BD8" w:rsidRDefault="0092073F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9"/>
        <w:gridCol w:w="1941"/>
        <w:gridCol w:w="2013"/>
        <w:gridCol w:w="5697"/>
      </w:tblGrid>
      <w:tr w:rsidR="006A48B9" w:rsidTr="00A10188">
        <w:tc>
          <w:tcPr>
            <w:tcW w:w="1939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Acteurs</w:t>
            </w:r>
          </w:p>
        </w:tc>
        <w:tc>
          <w:tcPr>
            <w:tcW w:w="1941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Rôle</w:t>
            </w:r>
          </w:p>
        </w:tc>
        <w:tc>
          <w:tcPr>
            <w:tcW w:w="2013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 ou menace</w:t>
            </w:r>
          </w:p>
        </w:tc>
        <w:tc>
          <w:tcPr>
            <w:tcW w:w="5697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</w:tr>
      <w:tr w:rsidR="006A48B9" w:rsidTr="00A10188">
        <w:trPr>
          <w:trHeight w:val="778"/>
        </w:trPr>
        <w:tc>
          <w:tcPr>
            <w:tcW w:w="1939" w:type="dxa"/>
          </w:tcPr>
          <w:p w:rsidR="006A48B9" w:rsidRDefault="00AF2826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enseignes multimarques</w:t>
            </w:r>
          </w:p>
        </w:tc>
        <w:tc>
          <w:tcPr>
            <w:tcW w:w="1941" w:type="dxa"/>
          </w:tcPr>
          <w:p w:rsidR="006A48B9" w:rsidRDefault="00AF2826" w:rsidP="009733B1">
            <w:pPr>
              <w:rPr>
                <w:rFonts w:ascii="Comic Sans MS" w:hAnsi="Comic Sans MS"/>
              </w:rPr>
            </w:pPr>
            <w:r w:rsidRPr="00AF2826">
              <w:rPr>
                <w:rFonts w:ascii="Comic Sans MS" w:hAnsi="Comic Sans MS"/>
              </w:rPr>
              <w:t xml:space="preserve">Cette grande enseigne </w:t>
            </w:r>
            <w:r w:rsidR="009733B1">
              <w:rPr>
                <w:rFonts w:ascii="Comic Sans MS" w:hAnsi="Comic Sans MS"/>
              </w:rPr>
              <w:t xml:space="preserve">leader de la distribution de produits dans le domaine du sport </w:t>
            </w:r>
            <w:r w:rsidRPr="00AF2826">
              <w:rPr>
                <w:rFonts w:ascii="Comic Sans MS" w:hAnsi="Comic Sans MS"/>
              </w:rPr>
              <w:t xml:space="preserve">peut représenter une menace pour notre PFR si nous n’arrivons pas à être </w:t>
            </w:r>
            <w:proofErr w:type="gramStart"/>
            <w:r w:rsidRPr="00AF2826">
              <w:rPr>
                <w:rFonts w:ascii="Comic Sans MS" w:hAnsi="Comic Sans MS"/>
              </w:rPr>
              <w:lastRenderedPageBreak/>
              <w:t>référencé</w:t>
            </w:r>
            <w:proofErr w:type="gramEnd"/>
            <w:r w:rsidRPr="00AF2826">
              <w:rPr>
                <w:rFonts w:ascii="Comic Sans MS" w:hAnsi="Comic Sans MS"/>
              </w:rPr>
              <w:t xml:space="preserve"> chez Décathlon </w:t>
            </w:r>
          </w:p>
        </w:tc>
        <w:tc>
          <w:tcPr>
            <w:tcW w:w="2013" w:type="dxa"/>
          </w:tcPr>
          <w:p w:rsidR="006A48B9" w:rsidRDefault="009733B1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menace</w:t>
            </w:r>
          </w:p>
        </w:tc>
        <w:tc>
          <w:tcPr>
            <w:tcW w:w="5697" w:type="dxa"/>
          </w:tcPr>
          <w:p w:rsidR="006A48B9" w:rsidRDefault="001E7F90" w:rsidP="00A76BFA">
            <w:pPr>
              <w:rPr>
                <w:rFonts w:ascii="Comic Sans MS" w:hAnsi="Comic Sans MS"/>
              </w:rPr>
            </w:pPr>
            <w:hyperlink r:id="rId10" w:history="1">
              <w:r w:rsidR="009733B1" w:rsidRPr="00BB69AC">
                <w:rPr>
                  <w:rStyle w:val="Lienhypertexte"/>
                  <w:rFonts w:ascii="Comic Sans MS" w:hAnsi="Comic Sans MS"/>
                </w:rPr>
                <w:t>https://www.lsa-conso.fr/decathlon-en-passe-d-etre-le-leader-mondial-du-sport,309761</w:t>
              </w:r>
            </w:hyperlink>
            <w:r w:rsidR="0070424D">
              <w:rPr>
                <w:rFonts w:ascii="Comic Sans MS" w:hAnsi="Comic Sans MS"/>
              </w:rPr>
              <w:t xml:space="preserve"> février </w:t>
            </w:r>
            <w:r w:rsidR="009733B1">
              <w:rPr>
                <w:rFonts w:ascii="Comic Sans MS" w:hAnsi="Comic Sans MS"/>
              </w:rPr>
              <w:t>2019</w:t>
            </w:r>
          </w:p>
        </w:tc>
      </w:tr>
      <w:tr w:rsidR="006A48B9" w:rsidTr="00A10188">
        <w:trPr>
          <w:trHeight w:val="561"/>
        </w:trPr>
        <w:tc>
          <w:tcPr>
            <w:tcW w:w="1939" w:type="dxa"/>
          </w:tcPr>
          <w:p w:rsidR="006A48B9" w:rsidRDefault="00063EC4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Les joueurs nationaux</w:t>
            </w:r>
          </w:p>
        </w:tc>
        <w:tc>
          <w:tcPr>
            <w:tcW w:w="1941" w:type="dxa"/>
          </w:tcPr>
          <w:p w:rsidR="006A48B9" w:rsidRDefault="00063EC4" w:rsidP="007042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Peu figurent dans les meilleurs classements</w:t>
            </w:r>
            <w:bookmarkStart w:id="0" w:name="_GoBack"/>
            <w:bookmarkEnd w:id="0"/>
            <w:r w:rsidR="0070424D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il n’y a pas de </w:t>
            </w:r>
            <w:r w:rsidR="006B3208">
              <w:rPr>
                <w:rFonts w:ascii="Comic Sans MS" w:hAnsi="Comic Sans MS"/>
              </w:rPr>
              <w:t>« </w:t>
            </w:r>
            <w:r>
              <w:rPr>
                <w:rFonts w:ascii="Comic Sans MS" w:hAnsi="Comic Sans MS"/>
              </w:rPr>
              <w:t>locomotive</w:t>
            </w:r>
            <w:r w:rsidR="006B3208">
              <w:rPr>
                <w:rFonts w:ascii="Comic Sans MS" w:hAnsi="Comic Sans MS"/>
              </w:rPr>
              <w:t> »</w:t>
            </w:r>
          </w:p>
        </w:tc>
        <w:tc>
          <w:tcPr>
            <w:tcW w:w="2013" w:type="dxa"/>
          </w:tcPr>
          <w:p w:rsidR="006A48B9" w:rsidRDefault="00063EC4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menace</w:t>
            </w:r>
          </w:p>
        </w:tc>
        <w:tc>
          <w:tcPr>
            <w:tcW w:w="5697" w:type="dxa"/>
          </w:tcPr>
          <w:p w:rsidR="00063EC4" w:rsidRDefault="00063EC4" w:rsidP="00A76BFA">
            <w:pPr>
              <w:rPr>
                <w:rFonts w:ascii="Comic Sans MS" w:hAnsi="Comic Sans MS"/>
              </w:rPr>
            </w:pPr>
            <w:r w:rsidRPr="00063EC4">
              <w:rPr>
                <w:rFonts w:ascii="Comic Sans MS" w:hAnsi="Comic Sans MS"/>
              </w:rPr>
              <w:t>"Il manque une locomotive au tennis de table français"</w:t>
            </w:r>
            <w:r>
              <w:rPr>
                <w:rFonts w:ascii="Comic Sans MS" w:hAnsi="Comic Sans MS"/>
              </w:rPr>
              <w:t xml:space="preserve"> </w:t>
            </w:r>
            <w:r w:rsidRPr="00063EC4">
              <w:rPr>
                <w:rFonts w:ascii="Comic Sans MS" w:hAnsi="Comic Sans MS"/>
              </w:rPr>
              <w:t>https://www.digiping.fr/jacques-secretin-il-manque-une-locomotive-au-tennis-de-table-francais-23956.html</w:t>
            </w:r>
          </w:p>
          <w:p w:rsidR="006A48B9" w:rsidRDefault="00063EC4" w:rsidP="00A76BF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fev</w:t>
            </w:r>
            <w:proofErr w:type="spellEnd"/>
            <w:r>
              <w:rPr>
                <w:rFonts w:ascii="Comic Sans MS" w:hAnsi="Comic Sans MS"/>
              </w:rPr>
              <w:t xml:space="preserve"> 2015</w:t>
            </w:r>
          </w:p>
        </w:tc>
      </w:tr>
    </w:tbl>
    <w:p w:rsidR="0092073F" w:rsidRDefault="0092073F">
      <w:pPr>
        <w:rPr>
          <w:rFonts w:ascii="Comic Sans MS" w:hAnsi="Comic Sans MS"/>
        </w:rPr>
      </w:pPr>
    </w:p>
    <w:p w:rsidR="0092073F" w:rsidRDefault="0092073F">
      <w:pPr>
        <w:rPr>
          <w:rFonts w:ascii="Comic Sans MS" w:hAnsi="Comic Sans MS"/>
        </w:rPr>
      </w:pPr>
    </w:p>
    <w:p w:rsidR="0092073F" w:rsidRPr="0092073F" w:rsidRDefault="0092073F">
      <w:pPr>
        <w:rPr>
          <w:rFonts w:ascii="Comic Sans MS" w:hAnsi="Comic Sans MS"/>
        </w:rPr>
      </w:pPr>
    </w:p>
    <w:sectPr w:rsidR="0092073F" w:rsidRPr="0092073F" w:rsidSect="002A3BD8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90" w:rsidRDefault="001E7F90" w:rsidP="006A48B9">
      <w:pPr>
        <w:spacing w:after="0" w:line="240" w:lineRule="auto"/>
      </w:pPr>
      <w:r>
        <w:separator/>
      </w:r>
    </w:p>
  </w:endnote>
  <w:endnote w:type="continuationSeparator" w:id="0">
    <w:p w:rsidR="001E7F90" w:rsidRDefault="001E7F90" w:rsidP="006A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90" w:rsidRDefault="001E7F90" w:rsidP="006A48B9">
      <w:pPr>
        <w:spacing w:after="0" w:line="240" w:lineRule="auto"/>
      </w:pPr>
      <w:r>
        <w:separator/>
      </w:r>
    </w:p>
  </w:footnote>
  <w:footnote w:type="continuationSeparator" w:id="0">
    <w:p w:rsidR="001E7F90" w:rsidRDefault="001E7F90" w:rsidP="006A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9" w:rsidRDefault="00277FE3" w:rsidP="00277FE3">
    <w:pPr>
      <w:pStyle w:val="En-tte"/>
      <w:tabs>
        <w:tab w:val="left" w:pos="660"/>
      </w:tabs>
    </w:pPr>
    <w:r>
      <w:tab/>
      <w:t>methodepfr@u-bordeaux.fr</w:t>
    </w:r>
    <w:r>
      <w:tab/>
    </w:r>
    <w:r w:rsidR="006A48B9">
      <w:rPr>
        <w:noProof/>
        <w:lang w:eastAsia="fr-FR"/>
      </w:rPr>
      <w:drawing>
        <wp:inline distT="0" distB="0" distL="0" distR="0" wp14:anchorId="231B8CF7" wp14:editId="72FB9873">
          <wp:extent cx="800100" cy="86115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471" cy="863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F"/>
    <w:rsid w:val="00063EC4"/>
    <w:rsid w:val="000C3C3F"/>
    <w:rsid w:val="001E7F90"/>
    <w:rsid w:val="002100C0"/>
    <w:rsid w:val="00250D23"/>
    <w:rsid w:val="00277FE3"/>
    <w:rsid w:val="002A3BD8"/>
    <w:rsid w:val="002F014C"/>
    <w:rsid w:val="00326D6B"/>
    <w:rsid w:val="003A6F23"/>
    <w:rsid w:val="003D2E8F"/>
    <w:rsid w:val="00442619"/>
    <w:rsid w:val="006131FD"/>
    <w:rsid w:val="006A48B9"/>
    <w:rsid w:val="006B3208"/>
    <w:rsid w:val="007023C7"/>
    <w:rsid w:val="0070424D"/>
    <w:rsid w:val="00891AF2"/>
    <w:rsid w:val="008F1C99"/>
    <w:rsid w:val="0092073F"/>
    <w:rsid w:val="009733B1"/>
    <w:rsid w:val="00997174"/>
    <w:rsid w:val="009F1CD5"/>
    <w:rsid w:val="00A10188"/>
    <w:rsid w:val="00AF2826"/>
    <w:rsid w:val="00B50DDB"/>
    <w:rsid w:val="00B96472"/>
    <w:rsid w:val="00C669CD"/>
    <w:rsid w:val="00CD283B"/>
    <w:rsid w:val="00D3666A"/>
    <w:rsid w:val="00DA199A"/>
    <w:rsid w:val="00DC7E0B"/>
    <w:rsid w:val="00DF0A59"/>
    <w:rsid w:val="00E171CC"/>
    <w:rsid w:val="00F271CA"/>
    <w:rsid w:val="00F454D0"/>
    <w:rsid w:val="00F57682"/>
    <w:rsid w:val="00FC217D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8B9"/>
  </w:style>
  <w:style w:type="paragraph" w:styleId="Pieddepage">
    <w:name w:val="footer"/>
    <w:basedOn w:val="Normal"/>
    <w:link w:val="Pieddepag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8B9"/>
  </w:style>
  <w:style w:type="paragraph" w:styleId="Textedebulles">
    <w:name w:val="Balloon Text"/>
    <w:basedOn w:val="Normal"/>
    <w:link w:val="TextedebullesCar"/>
    <w:uiPriority w:val="99"/>
    <w:semiHidden/>
    <w:unhideWhenUsed/>
    <w:rsid w:val="006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8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1C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A3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8B9"/>
  </w:style>
  <w:style w:type="paragraph" w:styleId="Pieddepage">
    <w:name w:val="footer"/>
    <w:basedOn w:val="Normal"/>
    <w:link w:val="Pieddepag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8B9"/>
  </w:style>
  <w:style w:type="paragraph" w:styleId="Textedebulles">
    <w:name w:val="Balloon Text"/>
    <w:basedOn w:val="Normal"/>
    <w:link w:val="TextedebullesCar"/>
    <w:uiPriority w:val="99"/>
    <w:semiHidden/>
    <w:unhideWhenUsed/>
    <w:rsid w:val="006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8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1C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A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sa-conso.fr/decathlon-en-passe-d-etre-le-leader-mondial-du-sport,309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press.fr/tendances/soin-homme/le-sport-connecte-en-pleine-forme_209561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</dc:creator>
  <cp:lastModifiedBy>standard</cp:lastModifiedBy>
  <cp:revision>9</cp:revision>
  <dcterms:created xsi:type="dcterms:W3CDTF">2020-09-25T07:12:00Z</dcterms:created>
  <dcterms:modified xsi:type="dcterms:W3CDTF">2020-10-21T07:50:00Z</dcterms:modified>
</cp:coreProperties>
</file>