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704F89"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DE TYPE</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704F89">
              <w:rPr>
                <w:rFonts w:ascii="Arial" w:eastAsia="Times New Roman" w:hAnsi="Arial" w:cs="Arial"/>
                <w:b/>
                <w:sz w:val="20"/>
                <w:szCs w:val="20"/>
                <w:lang w:eastAsia="fr-FR"/>
              </w:rPr>
              <w:t xml:space="preserve"> Distributeur connecté de BD d’occasion à Bordeaux</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tbl>
      <w:tblPr>
        <w:tblStyle w:val="Grilledutableau"/>
        <w:tblW w:w="0" w:type="auto"/>
        <w:jc w:val="center"/>
        <w:tblLook w:val="04A0" w:firstRow="1" w:lastRow="0" w:firstColumn="1" w:lastColumn="0" w:noHBand="0" w:noVBand="1"/>
      </w:tblPr>
      <w:tblGrid>
        <w:gridCol w:w="4606"/>
        <w:gridCol w:w="4606"/>
      </w:tblGrid>
      <w:tr w:rsidR="00E9661E" w:rsidTr="003552FF">
        <w:trPr>
          <w:trHeight w:val="1140"/>
          <w:jc w:val="center"/>
        </w:trPr>
        <w:tc>
          <w:tcPr>
            <w:tcW w:w="4606" w:type="dxa"/>
          </w:tcPr>
          <w:p w:rsidR="00E9661E" w:rsidRDefault="00E9661E" w:rsidP="005F563F">
            <w:pPr>
              <w:jc w:val="center"/>
              <w:rPr>
                <w:rFonts w:ascii="Arial" w:eastAsia="Times New Roman" w:hAnsi="Arial" w:cs="Arial"/>
                <w:b/>
                <w:i/>
                <w:color w:val="FF0000"/>
                <w:sz w:val="20"/>
                <w:szCs w:val="20"/>
                <w:lang w:eastAsia="fr-FR"/>
              </w:rPr>
            </w:pPr>
            <w:r w:rsidRPr="00E9661E">
              <w:rPr>
                <w:rFonts w:ascii="Arial" w:eastAsia="Times New Roman" w:hAnsi="Arial" w:cs="Arial"/>
                <w:b/>
                <w:i/>
                <w:noProof/>
                <w:sz w:val="20"/>
                <w:szCs w:val="20"/>
                <w:lang w:eastAsia="fr-FR"/>
              </w:rPr>
              <mc:AlternateContent>
                <mc:Choice Requires="wps">
                  <w:drawing>
                    <wp:anchor distT="0" distB="0" distL="114300" distR="114300" simplePos="0" relativeHeight="251659264" behindDoc="0" locked="0" layoutInCell="1" allowOverlap="1" wp14:anchorId="126D8F95" wp14:editId="1029FEE1">
                      <wp:simplePos x="0" y="0"/>
                      <wp:positionH relativeFrom="column">
                        <wp:posOffset>1302385</wp:posOffset>
                      </wp:positionH>
                      <wp:positionV relativeFrom="paragraph">
                        <wp:posOffset>276225</wp:posOffset>
                      </wp:positionV>
                      <wp:extent cx="342900" cy="358140"/>
                      <wp:effectExtent l="0" t="0" r="19050" b="22860"/>
                      <wp:wrapNone/>
                      <wp:docPr id="2" name="Cadre 2"/>
                      <wp:cNvGraphicFramePr/>
                      <a:graphic xmlns:a="http://schemas.openxmlformats.org/drawingml/2006/main">
                        <a:graphicData uri="http://schemas.microsoft.com/office/word/2010/wordprocessingShape">
                          <wps:wsp>
                            <wps:cNvSpPr/>
                            <wps:spPr>
                              <a:xfrm>
                                <a:off x="0" y="0"/>
                                <a:ext cx="342900" cy="35814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2" o:spid="_x0000_s1026" style="position:absolute;margin-left:102.55pt;margin-top:21.75pt;width:27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3hjQIAAHUFAAAOAAAAZHJzL2Uyb0RvYy54bWysVE1v2zAMvQ/YfxB0X/3RdGuDOkWQosOA&#10;oi3WDj2rslQbkEWNUuJkv36UbCdBV+wwLAdFNMlH8onk5dW2M2yj0LdgK16c5JwpK6Fu7WvFfzzd&#10;fDrnzAdha2HAqorvlOdXi48fLns3VyU0YGqFjECsn/eu4k0Ibp5lXjaqE/4EnLKk1ICdCCTia1aj&#10;6Am9M1mZ55+zHrB2CFJ5T1+vByVfJHytlQz3WnsVmKk45RbSiel8iWe2uBTzVxSuaeWYhviHLDrR&#10;Wgq6h7oWQbA1tn9Ada1E8KDDiYQuA61bqVINVE2Rv6nmsRFOpVqIHO/2NPn/ByvvNg/I2rriJWdW&#10;dPREK1GjYmWkpnd+ThaP7gFHydM11rnV2MV/qoBtE527PZ1qG5ikj6ez8iIn0iWpTs/Oi1miOzs4&#10;O/Thq4KOxUvFNVL8xKLY3PpAEcl2sonBjI2nB9PWN60xSYiNolYG2UbQE4dtEfMmvyMrkqJnFqsZ&#10;8k+3sDNqQP2uNFFAGZcpemq+A6aQUtlQDKpG1GoIdZbTbwo2ZZFCG0uAEVlTknvsEWCyHEAm7CHn&#10;0T66qtS7e+f8b4kNznuPFBls2Dt3rQV8D8BQVWPkwX4iaaAmsvQC9Y4aBGGYHO/kTUuPdSt8eBBI&#10;o0LvS+Mf7unQBvqKw3jjrAH89d73aE8dTFrOehq9ivufa4GKM/PNUm9fFDNqFRaSMDv7UpKAx5qX&#10;Y41ddyugpy9o0TiZrtE+mOmqEbpn2hLLGJVUwkqKXXEZcBJWYVgJtGekWi6TGc2nE+HWPjoZwSOr&#10;sRefts8C3dixgVr9DqYxFfM3fTvYRk8Ly3UA3aamPvA68k2znRpn3ENxeRzLyeqwLRe/AQAA//8D&#10;AFBLAwQUAAYACAAAACEA3mPHauAAAAAJAQAADwAAAGRycy9kb3ducmV2LnhtbEyPy07DQAxF90j8&#10;w8hI7OikgaAmjVOhii5AAonSRZeTjElC5xFlpm3695gVLG0fXZ9briZrxInG0HuHMJ8lIMg1Xveu&#10;Rdh9bu4WIEJUTivjHSFcKMCqur4qVaH92X3QaRtbwSEuFAqhi3EopAxNR1aFmR/I8e3Lj1ZFHsdW&#10;6lGdOdwamSbJo7Sqd/yhUwOtO2oO26NF2LwdXte7d91n+8uLN/Wz/+7aPeLtzfS0BBFpin8w/Oqz&#10;OlTsVPuj00EYhDTJ5owiPNxnIBhIs5wXNUKe5yCrUv5vUP0AAAD//wMAUEsBAi0AFAAGAAgAAAAh&#10;ALaDOJL+AAAA4QEAABMAAAAAAAAAAAAAAAAAAAAAAFtDb250ZW50X1R5cGVzXS54bWxQSwECLQAU&#10;AAYACAAAACEAOP0h/9YAAACUAQAACwAAAAAAAAAAAAAAAAAvAQAAX3JlbHMvLnJlbHNQSwECLQAU&#10;AAYACAAAACEApkbN4Y0CAAB1BQAADgAAAAAAAAAAAAAAAAAuAgAAZHJzL2Uyb0RvYy54bWxQSwEC&#10;LQAUAAYACAAAACEA3mPHauAAAAAJAQAADwAAAAAAAAAAAAAAAADnBAAAZHJzL2Rvd25yZXYueG1s&#10;UEsFBgAAAAAEAAQA8wAAAPQFAAAAAA==&#10;" path="m,l342900,r,358140l,358140,,xm42863,42863r,272415l300038,315278r,-272415l42863,42863xe" fillcolor="#4f81bd [3204]" strokecolor="black [3213]"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sz w:val="20"/>
                <w:szCs w:val="20"/>
                <w:lang w:eastAsia="fr-FR"/>
              </w:rPr>
              <w:t>Validé</w:t>
            </w:r>
          </w:p>
        </w:tc>
        <w:tc>
          <w:tcPr>
            <w:tcW w:w="4606" w:type="dxa"/>
          </w:tcPr>
          <w:p w:rsidR="00E9661E" w:rsidRDefault="00E9661E" w:rsidP="005F563F">
            <w:pPr>
              <w:jc w:val="center"/>
              <w:rPr>
                <w:rFonts w:ascii="Arial" w:eastAsia="Times New Roman" w:hAnsi="Arial" w:cs="Arial"/>
                <w:b/>
                <w:i/>
                <w:color w:val="FF0000"/>
                <w:sz w:val="20"/>
                <w:szCs w:val="20"/>
                <w:lang w:eastAsia="fr-FR"/>
              </w:rPr>
            </w:pPr>
            <w:r w:rsidRPr="00E9661E">
              <w:rPr>
                <w:rFonts w:ascii="Arial" w:eastAsia="Times New Roman" w:hAnsi="Arial" w:cs="Arial"/>
                <w:b/>
                <w:i/>
                <w:noProof/>
                <w:color w:val="000000" w:themeColor="text1"/>
                <w:sz w:val="20"/>
                <w:szCs w:val="20"/>
                <w:lang w:eastAsia="fr-FR"/>
              </w:rPr>
              <mc:AlternateContent>
                <mc:Choice Requires="wps">
                  <w:drawing>
                    <wp:anchor distT="0" distB="0" distL="114300" distR="114300" simplePos="0" relativeHeight="251661312" behindDoc="0" locked="0" layoutInCell="1" allowOverlap="1" wp14:anchorId="3623B69C" wp14:editId="13215358">
                      <wp:simplePos x="0" y="0"/>
                      <wp:positionH relativeFrom="column">
                        <wp:posOffset>1219835</wp:posOffset>
                      </wp:positionH>
                      <wp:positionV relativeFrom="paragraph">
                        <wp:posOffset>268605</wp:posOffset>
                      </wp:positionV>
                      <wp:extent cx="342900" cy="358140"/>
                      <wp:effectExtent l="0" t="0" r="19050" b="22860"/>
                      <wp:wrapNone/>
                      <wp:docPr id="3" name="Cadre 3"/>
                      <wp:cNvGraphicFramePr/>
                      <a:graphic xmlns:a="http://schemas.openxmlformats.org/drawingml/2006/main">
                        <a:graphicData uri="http://schemas.microsoft.com/office/word/2010/wordprocessingShape">
                          <wps:wsp>
                            <wps:cNvSpPr/>
                            <wps:spPr>
                              <a:xfrm>
                                <a:off x="0" y="0"/>
                                <a:ext cx="342900" cy="358140"/>
                              </a:xfrm>
                              <a:prstGeom prst="fram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3" o:spid="_x0000_s1026" style="position:absolute;margin-left:96.05pt;margin-top:21.15pt;width:27pt;height:2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yJbwIAAOoEAAAOAAAAZHJzL2Uyb0RvYy54bWysVE1vGyEQvVfqf0Dcm/VX2sTKOnJtuaoU&#10;NZGSKucxC/ZKLFDAXru/vg9243w0p6o+YIYZZuY93uzV9aHRbC99qK0p+fBswJk0wla12ZT858Pq&#10;0wVnIZKpSFsjS36UgV/PPn64at1UjuzW6kp6hiQmTFtX8m2MbloUQWxlQ+HMOmngVNY3FGH6TVF5&#10;apG90cVoMPhctNZXzlshQ8DpsnPyWc6vlBTxVqkgI9MlR28xrz6v67QWsyuabjy5bS36Nugfumio&#10;Nih6SrWkSGzn679SNbXwNlgVz4RtCqtULWTGADTDwRs091tyMmMBOcGdaAr/L634sb/zrK5KPubM&#10;UIMnWlDlJRsnaloXpoi4d3e+twK2CedB+Sb9AwE7ZDqPJzrlITKBw/FkdDkA6QKu8fnFcJLpLp4v&#10;Ox/iN2kbljYlVx71M4u0vwkRFRH7FJOKBavralVrnQ2/WS+0Z3vC005WF8Ovy9QyrrwK04a1JR+d&#10;T3InBIkpTRFNNQ6gg9lwRnoD7Yroc+1Xt8MxnGpAdZVtH4COM00hwgHI+fde4dT4ksK2azBn7cO0&#10;Sf3LrM4eZyK6ozbt1rY64lW87eQanFjVyHaDonfkoU+QipmLt1iUtsBn+x1nW+t/v3ee4iEbeDlr&#10;oXdg/7UjL4Hlu4GgLocTvA+L2ZicfxnB8C8965ces2sWFrwPMd1O5G2Kj/ppq7xtHjGa81QVLjIC&#10;tTuWe2MRuznEcAs5n+cwDIWjeGPunUjJE0+Jx4fDI3nXyyTiBX7Yp9mg6RuxdLHpprHzXbSqzkp6&#10;5hUaSQYGKqulH/40sS/tHPX8iZr9AQAA//8DAFBLAwQUAAYACAAAACEApBIxvdsAAAAJAQAADwAA&#10;AGRycy9kb3ducmV2LnhtbEyPwU7DMAyG70i8Q2QkbixtmcbWNZ0qpl24UcY9a0xarUmqxmvL22NO&#10;cPztT78/F4fF9WLCMXbBK0hXCQj0TTCdtwrOH6enLYhI2hvdB48KvjHCoby/K3RuwuzfcarJCi7x&#10;MdcKWqIhlzI2LTodV2FAz7uvMDpNHEcrzahnLne9zJJkI53uPF9o9YCvLTbX+uYUHKv0jU7ThPZ8&#10;JKqqT6trNyv1+LBUexCEC/3B8KvP6lCy0yXcvImi57zLUkYVrLNnEAxk6w0PLgp22xeQZSH/f1D+&#10;AAAA//8DAFBLAQItABQABgAIAAAAIQC2gziS/gAAAOEBAAATAAAAAAAAAAAAAAAAAAAAAABbQ29u&#10;dGVudF9UeXBlc10ueG1sUEsBAi0AFAAGAAgAAAAhADj9If/WAAAAlAEAAAsAAAAAAAAAAAAAAAAA&#10;LwEAAF9yZWxzLy5yZWxzUEsBAi0AFAAGAAgAAAAhAFqtDIlvAgAA6gQAAA4AAAAAAAAAAAAAAAAA&#10;LgIAAGRycy9lMm9Eb2MueG1sUEsBAi0AFAAGAAgAAAAhAKQSMb3bAAAACQEAAA8AAAAAAAAAAAAA&#10;AAAAyQQAAGRycy9kb3ducmV2LnhtbFBLBQYAAAAABAAEAPMAAADRBQAAAAA=&#10;" path="m,l342900,r,358140l,358140,,xm42863,42863r,272415l300038,315278r,-272415l42863,42863xe" fillcolor="#4f81bd" strokecolor="windowText"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color w:val="000000" w:themeColor="text1"/>
                <w:sz w:val="20"/>
                <w:szCs w:val="20"/>
                <w:lang w:eastAsia="fr-FR"/>
              </w:rPr>
              <w:t>Non validé</w:t>
            </w: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E9661E">
      <w:pPr>
        <w:spacing w:after="0" w:line="240" w:lineRule="auto"/>
        <w:jc w:val="center"/>
        <w:rPr>
          <w:rFonts w:ascii="Comic Sans MS" w:eastAsia="Times New Roman" w:hAnsi="Comic Sans MS" w:cs="Arial"/>
          <w:b/>
          <w:color w:val="000000" w:themeColor="text1"/>
          <w:sz w:val="28"/>
          <w:szCs w:val="28"/>
          <w:lang w:eastAsia="fr-FR"/>
        </w:rPr>
      </w:pPr>
      <w:r w:rsidRPr="00E9661E">
        <w:rPr>
          <w:rFonts w:ascii="Comic Sans MS" w:eastAsia="Times New Roman" w:hAnsi="Comic Sans MS" w:cs="Arial"/>
          <w:b/>
          <w:color w:val="000000" w:themeColor="text1"/>
          <w:sz w:val="28"/>
          <w:szCs w:val="28"/>
          <w:lang w:eastAsia="fr-FR"/>
        </w:rPr>
        <w:t>Document d’étape </w:t>
      </w:r>
      <w:r w:rsidR="00F55045">
        <w:rPr>
          <w:rFonts w:ascii="Comic Sans MS" w:eastAsia="Times New Roman" w:hAnsi="Comic Sans MS" w:cs="Arial"/>
          <w:b/>
          <w:color w:val="000000" w:themeColor="text1"/>
          <w:sz w:val="28"/>
          <w:szCs w:val="28"/>
          <w:lang w:eastAsia="fr-FR"/>
        </w:rPr>
        <w:t>2.1</w:t>
      </w:r>
      <w:r w:rsidRPr="00E9661E">
        <w:rPr>
          <w:rFonts w:ascii="Comic Sans MS" w:eastAsia="Times New Roman" w:hAnsi="Comic Sans MS" w:cs="Arial"/>
          <w:b/>
          <w:color w:val="000000" w:themeColor="text1"/>
          <w:sz w:val="28"/>
          <w:szCs w:val="28"/>
          <w:lang w:eastAsia="fr-FR"/>
        </w:rPr>
        <w:t xml:space="preserve">: </w:t>
      </w:r>
      <w:r w:rsidR="003552FF">
        <w:rPr>
          <w:rFonts w:ascii="Comic Sans MS" w:eastAsia="Times New Roman" w:hAnsi="Comic Sans MS" w:cs="Arial"/>
          <w:b/>
          <w:color w:val="000000" w:themeColor="text1"/>
          <w:sz w:val="28"/>
          <w:szCs w:val="28"/>
          <w:lang w:eastAsia="fr-FR"/>
        </w:rPr>
        <w:t>processus d’achat du consommateur du</w:t>
      </w:r>
      <w:r w:rsidRPr="00E9661E">
        <w:rPr>
          <w:rFonts w:ascii="Comic Sans MS" w:eastAsia="Times New Roman" w:hAnsi="Comic Sans MS" w:cs="Arial"/>
          <w:b/>
          <w:color w:val="000000" w:themeColor="text1"/>
          <w:sz w:val="28"/>
          <w:szCs w:val="28"/>
          <w:lang w:eastAsia="fr-FR"/>
        </w:rPr>
        <w:t xml:space="preserve"> PFR</w:t>
      </w:r>
    </w:p>
    <w:p w:rsidR="00D07363" w:rsidRPr="00FE4103" w:rsidRDefault="00FE4103" w:rsidP="00E9661E">
      <w:pPr>
        <w:spacing w:after="0" w:line="240" w:lineRule="auto"/>
        <w:jc w:val="center"/>
        <w:rPr>
          <w:rFonts w:ascii="Comic Sans MS" w:eastAsia="Times New Roman" w:hAnsi="Comic Sans MS" w:cs="Arial"/>
          <w:b/>
          <w:color w:val="000000" w:themeColor="text1"/>
          <w:szCs w:val="28"/>
          <w:lang w:eastAsia="fr-FR"/>
        </w:rPr>
      </w:pPr>
      <w:r w:rsidRPr="00FE4103">
        <w:rPr>
          <w:rFonts w:ascii="Comic Sans MS" w:eastAsia="Calibri" w:hAnsi="Comic Sans MS" w:cs="Times New Roman"/>
          <w:b/>
          <w:i/>
          <w:sz w:val="16"/>
          <w:szCs w:val="36"/>
        </w:rPr>
        <w:t>La rédaction de ce  document consiste à retranscrire  de manière  formalisée l’application à votre PFR de concepts relatifs au thème désigné par le titre.</w:t>
      </w:r>
    </w:p>
    <w:p w:rsidR="00E9661E" w:rsidRPr="005F563F" w:rsidRDefault="00E9661E" w:rsidP="00E9661E">
      <w:pPr>
        <w:spacing w:after="0" w:line="240" w:lineRule="auto"/>
        <w:jc w:val="center"/>
        <w:rPr>
          <w:rFonts w:ascii="Arial" w:eastAsia="Times New Roman" w:hAnsi="Arial" w:cs="Arial"/>
          <w:b/>
          <w:i/>
          <w:color w:val="FF0000"/>
          <w:sz w:val="20"/>
          <w:szCs w:val="20"/>
          <w:lang w:eastAsia="fr-FR"/>
        </w:rPr>
      </w:pPr>
    </w:p>
    <w:p w:rsidR="00FE4103" w:rsidRDefault="00FE4103"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39E8EBE4">
            <wp:extent cx="3048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FE4103" w:rsidRDefault="00FE4103" w:rsidP="005F563F">
      <w:pPr>
        <w:spacing w:after="0" w:line="240" w:lineRule="auto"/>
        <w:jc w:val="center"/>
        <w:rPr>
          <w:rFonts w:ascii="Arial" w:eastAsia="Times New Roman" w:hAnsi="Arial" w:cs="Arial"/>
          <w:b/>
          <w:i/>
          <w:color w:val="FF0000"/>
          <w:sz w:val="20"/>
          <w:szCs w:val="20"/>
          <w:lang w:eastAsia="fr-FR"/>
        </w:rPr>
      </w:pPr>
    </w:p>
    <w:p w:rsidR="00E9661E" w:rsidRDefault="00353402"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lastRenderedPageBreak/>
        <w:t>Consignes pour valider les compétences suivantes</w:t>
      </w:r>
    </w:p>
    <w:tbl>
      <w:tblPr>
        <w:tblpPr w:leftFromText="141" w:rightFromText="141" w:vertAnchor="text" w:horzAnchor="margin" w:tblpXSpec="center" w:tblpY="271"/>
        <w:tblW w:w="6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531"/>
      </w:tblGrid>
      <w:tr w:rsidR="005C7EE1" w:rsidRPr="008E159E" w:rsidTr="005C7EE1">
        <w:trPr>
          <w:trHeight w:val="314"/>
        </w:trPr>
        <w:tc>
          <w:tcPr>
            <w:tcW w:w="6531" w:type="dxa"/>
          </w:tcPr>
          <w:p w:rsidR="005C7EE1" w:rsidRPr="008E159E" w:rsidRDefault="005C7EE1" w:rsidP="00A76BFA">
            <w:pPr>
              <w:rPr>
                <w:rFonts w:ascii="Arial Narrow" w:hAnsi="Arial Narrow"/>
                <w:b/>
                <w:sz w:val="18"/>
                <w:szCs w:val="18"/>
              </w:rPr>
            </w:pPr>
            <w:r w:rsidRPr="008E159E">
              <w:rPr>
                <w:rFonts w:ascii="Arial Narrow" w:hAnsi="Arial Narrow"/>
                <w:b/>
                <w:sz w:val="18"/>
                <w:szCs w:val="18"/>
              </w:rPr>
              <w:t xml:space="preserve">Compétences à acquérir </w:t>
            </w:r>
          </w:p>
        </w:tc>
      </w:tr>
      <w:tr w:rsidR="005C7EE1" w:rsidRPr="008E159E" w:rsidTr="005C7EE1">
        <w:trPr>
          <w:trHeight w:val="151"/>
        </w:trPr>
        <w:tc>
          <w:tcPr>
            <w:tcW w:w="6531" w:type="dxa"/>
          </w:tcPr>
          <w:p w:rsidR="005C7EE1" w:rsidRPr="008E159E" w:rsidRDefault="006E203B" w:rsidP="00A76BFA">
            <w:pPr>
              <w:rPr>
                <w:rFonts w:ascii="Arial Narrow" w:hAnsi="Arial Narrow"/>
                <w:sz w:val="18"/>
                <w:szCs w:val="18"/>
              </w:rPr>
            </w:pPr>
            <w:r>
              <w:rPr>
                <w:rFonts w:ascii="Arial Narrow" w:hAnsi="Arial Narrow"/>
                <w:sz w:val="18"/>
                <w:szCs w:val="18"/>
              </w:rPr>
              <w:t>Caractériser le besoin</w:t>
            </w:r>
          </w:p>
        </w:tc>
      </w:tr>
      <w:tr w:rsidR="005C7EE1" w:rsidRPr="008E159E" w:rsidTr="005C7EE1">
        <w:trPr>
          <w:trHeight w:val="151"/>
        </w:trPr>
        <w:tc>
          <w:tcPr>
            <w:tcW w:w="6531" w:type="dxa"/>
          </w:tcPr>
          <w:p w:rsidR="005C7EE1" w:rsidRPr="008E159E" w:rsidRDefault="00F55045" w:rsidP="00A76BFA">
            <w:pPr>
              <w:rPr>
                <w:rFonts w:ascii="Arial Narrow" w:hAnsi="Arial Narrow"/>
                <w:sz w:val="18"/>
                <w:szCs w:val="18"/>
              </w:rPr>
            </w:pPr>
            <w:r w:rsidRPr="008E159E">
              <w:rPr>
                <w:rFonts w:ascii="Arial Narrow" w:hAnsi="Arial Narrow"/>
                <w:sz w:val="18"/>
                <w:szCs w:val="18"/>
              </w:rPr>
              <w:t xml:space="preserve">Répertorier les risques éventuellement perçus  associés à l’achat du </w:t>
            </w:r>
            <w:proofErr w:type="spellStart"/>
            <w:r w:rsidRPr="008E159E">
              <w:rPr>
                <w:rFonts w:ascii="Arial Narrow" w:hAnsi="Arial Narrow"/>
                <w:sz w:val="18"/>
                <w:szCs w:val="18"/>
              </w:rPr>
              <w:t>pfr</w:t>
            </w:r>
            <w:proofErr w:type="spellEnd"/>
          </w:p>
        </w:tc>
      </w:tr>
      <w:tr w:rsidR="005C7EE1" w:rsidRPr="008E159E" w:rsidTr="005C7EE1">
        <w:trPr>
          <w:trHeight w:val="151"/>
        </w:trPr>
        <w:tc>
          <w:tcPr>
            <w:tcW w:w="6531" w:type="dxa"/>
          </w:tcPr>
          <w:p w:rsidR="005C7EE1" w:rsidRPr="008E159E" w:rsidRDefault="00F55045" w:rsidP="00A76BFA">
            <w:pPr>
              <w:rPr>
                <w:rFonts w:ascii="Arial Narrow" w:hAnsi="Arial Narrow"/>
                <w:sz w:val="18"/>
                <w:szCs w:val="18"/>
              </w:rPr>
            </w:pPr>
            <w:r>
              <w:rPr>
                <w:rFonts w:ascii="Arial Narrow" w:hAnsi="Arial Narrow"/>
                <w:sz w:val="18"/>
                <w:szCs w:val="18"/>
              </w:rPr>
              <w:t xml:space="preserve">En déduire </w:t>
            </w:r>
            <w:r w:rsidRPr="00F55045">
              <w:rPr>
                <w:rFonts w:ascii="Arial Narrow" w:hAnsi="Arial Narrow"/>
                <w:sz w:val="18"/>
                <w:szCs w:val="18"/>
              </w:rPr>
              <w:t xml:space="preserve">la durée et la complexité de la décision d’achat   </w:t>
            </w:r>
          </w:p>
        </w:tc>
      </w:tr>
    </w:tbl>
    <w:p w:rsidR="005C7EE1" w:rsidRDefault="005C7EE1" w:rsidP="005C7EE1">
      <w:pPr>
        <w:spacing w:after="0" w:line="240" w:lineRule="auto"/>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C7EE1"/>
    <w:p w:rsidR="005C7EE1" w:rsidRDefault="005C7EE1" w:rsidP="00FE4103">
      <w:r>
        <w:t>I</w:t>
      </w:r>
      <w:r w:rsidRPr="00353402">
        <w:t xml:space="preserve">ndiquez et expliquez </w:t>
      </w:r>
      <w:r>
        <w:t xml:space="preserve"> </w:t>
      </w:r>
      <w:r w:rsidRPr="00353402">
        <w:t>le ou  les niveaux de besoin de la pyramide de Maslow satisfaits par le PFR</w:t>
      </w:r>
    </w:p>
    <w:p w:rsidR="00704F89" w:rsidRPr="0071778F" w:rsidRDefault="00704F89" w:rsidP="00704F89">
      <w:pPr>
        <w:spacing w:after="0"/>
        <w:rPr>
          <w:color w:val="0070C0"/>
        </w:rPr>
      </w:pPr>
      <w:r w:rsidRPr="0071778F">
        <w:rPr>
          <w:color w:val="0070C0"/>
        </w:rPr>
        <w:t xml:space="preserve">Le PFR peut répondre aux besoins d’appartenance, d’estime et d’accomplissement. </w:t>
      </w:r>
    </w:p>
    <w:p w:rsidR="00704F89" w:rsidRPr="0071778F" w:rsidRDefault="00704F89" w:rsidP="00704F89">
      <w:pPr>
        <w:pStyle w:val="Paragraphedeliste"/>
        <w:numPr>
          <w:ilvl w:val="0"/>
          <w:numId w:val="2"/>
        </w:numPr>
        <w:spacing w:after="0"/>
        <w:rPr>
          <w:color w:val="0070C0"/>
        </w:rPr>
      </w:pPr>
      <w:r w:rsidRPr="0071778F">
        <w:rPr>
          <w:color w:val="0070C0"/>
        </w:rPr>
        <w:t xml:space="preserve">Certaines </w:t>
      </w:r>
      <w:r w:rsidRPr="0071778F">
        <w:rPr>
          <w:color w:val="0070C0"/>
        </w:rPr>
        <w:t xml:space="preserve">BD conseillées et </w:t>
      </w:r>
      <w:r w:rsidRPr="0071778F">
        <w:rPr>
          <w:color w:val="0070C0"/>
        </w:rPr>
        <w:t xml:space="preserve"> approuvées par un groupe social peuvent faciliter l’intégration à ce groupe.</w:t>
      </w:r>
    </w:p>
    <w:p w:rsidR="00704F89" w:rsidRPr="0071778F" w:rsidRDefault="00704F89" w:rsidP="00704F89">
      <w:pPr>
        <w:pStyle w:val="Paragraphedeliste"/>
        <w:numPr>
          <w:ilvl w:val="0"/>
          <w:numId w:val="2"/>
        </w:numPr>
        <w:spacing w:after="0"/>
        <w:rPr>
          <w:color w:val="0070C0"/>
        </w:rPr>
      </w:pPr>
      <w:r w:rsidRPr="0071778F">
        <w:rPr>
          <w:color w:val="0070C0"/>
        </w:rPr>
        <w:t xml:space="preserve">Certaines lectures de BD peuvent améliorer la confiance en soi et renforcer ainsi l’estime de soi en permettant d’apporter des références littéraires susceptibles d’entraîner de la reconnaissance par les autres et leur respect. </w:t>
      </w:r>
    </w:p>
    <w:p w:rsidR="00704F89" w:rsidRDefault="00704F89" w:rsidP="00704F89">
      <w:pPr>
        <w:pStyle w:val="Paragraphedeliste"/>
        <w:numPr>
          <w:ilvl w:val="0"/>
          <w:numId w:val="2"/>
        </w:numPr>
        <w:spacing w:after="0"/>
        <w:rPr>
          <w:color w:val="0070C0"/>
        </w:rPr>
      </w:pPr>
      <w:r w:rsidRPr="0071778F">
        <w:rPr>
          <w:color w:val="0070C0"/>
        </w:rPr>
        <w:t>La lecture entraîne de nombreux bienfaits en permettant de s’instruire, de réduire le stress et de faciliter l’endormissement</w:t>
      </w:r>
      <w:r w:rsidR="0071778F" w:rsidRPr="0071778F">
        <w:rPr>
          <w:rStyle w:val="Appelnotedebasdep"/>
          <w:color w:val="0070C0"/>
        </w:rPr>
        <w:footnoteReference w:id="1"/>
      </w:r>
      <w:r w:rsidRPr="0071778F">
        <w:rPr>
          <w:color w:val="0070C0"/>
        </w:rPr>
        <w:t>.</w:t>
      </w:r>
      <w:r w:rsidR="0071778F" w:rsidRPr="0071778F">
        <w:rPr>
          <w:color w:val="0070C0"/>
        </w:rPr>
        <w:t xml:space="preserve"> La consommation de Bd d’occasion peut ainsi permettre à certains de se réaliser et d’y trouver un épanouissement personnel.</w:t>
      </w:r>
    </w:p>
    <w:p w:rsidR="0071778F" w:rsidRPr="0071778F" w:rsidRDefault="0071778F" w:rsidP="0071778F">
      <w:pPr>
        <w:pStyle w:val="Paragraphedeliste"/>
        <w:spacing w:after="0"/>
        <w:ind w:left="1068"/>
        <w:rPr>
          <w:color w:val="0070C0"/>
        </w:rPr>
      </w:pPr>
    </w:p>
    <w:p w:rsidR="00F55045" w:rsidRDefault="00F55045" w:rsidP="0071778F">
      <w:pPr>
        <w:spacing w:after="0"/>
      </w:pPr>
      <w:r>
        <w:t>Qualifier  tous les risques probablement perçus à l’achat du PFR</w:t>
      </w:r>
    </w:p>
    <w:p w:rsidR="0071778F" w:rsidRPr="000961DB" w:rsidRDefault="000961DB" w:rsidP="0071778F">
      <w:pPr>
        <w:pStyle w:val="Paragraphedeliste"/>
        <w:numPr>
          <w:ilvl w:val="0"/>
          <w:numId w:val="2"/>
        </w:numPr>
        <w:spacing w:after="0"/>
        <w:rPr>
          <w:color w:val="0070C0"/>
        </w:rPr>
      </w:pPr>
      <w:r w:rsidRPr="000961DB">
        <w:rPr>
          <w:color w:val="0070C0"/>
        </w:rPr>
        <w:t>Le risque financier sera perçu par les lecteurs de BD à revenus modestes ou particulièrement sensibles au prix mais comme les BD seront d’occasion auront un prix inférieur aux BD neuves, ce risque est moindre.</w:t>
      </w:r>
    </w:p>
    <w:p w:rsidR="000961DB" w:rsidRPr="000961DB" w:rsidRDefault="000961DB" w:rsidP="0071778F">
      <w:pPr>
        <w:pStyle w:val="Paragraphedeliste"/>
        <w:numPr>
          <w:ilvl w:val="0"/>
          <w:numId w:val="2"/>
        </w:numPr>
        <w:spacing w:after="0"/>
        <w:rPr>
          <w:color w:val="0070C0"/>
        </w:rPr>
      </w:pPr>
      <w:r w:rsidRPr="000961DB">
        <w:rPr>
          <w:color w:val="0070C0"/>
        </w:rPr>
        <w:t>Le risque de performance pourra être ressenti par les lecteurs exigeants quant à la qualité du service délivré par le distributeur connecté et son fonctionnement. Cependant, la praticité proposée et la facilité d’accès aux BD d’occasion amoindrissent largement ce risque.</w:t>
      </w:r>
    </w:p>
    <w:p w:rsidR="000961DB" w:rsidRPr="000961DB" w:rsidRDefault="000961DB" w:rsidP="0071778F">
      <w:pPr>
        <w:pStyle w:val="Paragraphedeliste"/>
        <w:numPr>
          <w:ilvl w:val="0"/>
          <w:numId w:val="2"/>
        </w:numPr>
        <w:spacing w:after="0"/>
        <w:rPr>
          <w:color w:val="0070C0"/>
        </w:rPr>
      </w:pPr>
      <w:r w:rsidRPr="000961DB">
        <w:rPr>
          <w:color w:val="0070C0"/>
        </w:rPr>
        <w:t>Le risque social ne se manifeste pas car lire une BD d’occasion, même dans un lieu public, n’est pas associé à une activité négative dans le regard des autres.</w:t>
      </w:r>
      <w:r w:rsidRPr="000961DB">
        <w:rPr>
          <w:rStyle w:val="Appelnotedebasdep"/>
          <w:color w:val="0070C0"/>
        </w:rPr>
        <w:footnoteReference w:id="2"/>
      </w:r>
    </w:p>
    <w:p w:rsidR="0071778F" w:rsidRDefault="0071778F" w:rsidP="00FE4103">
      <w:bookmarkStart w:id="0" w:name="_GoBack"/>
      <w:bookmarkEnd w:id="0"/>
    </w:p>
    <w:p w:rsidR="005C7EE1" w:rsidRDefault="00F55045" w:rsidP="00D7096D">
      <w:pPr>
        <w:spacing w:after="0"/>
      </w:pPr>
      <w:r>
        <w:t>En déduire</w:t>
      </w:r>
      <w:r w:rsidR="005C7EE1">
        <w:t xml:space="preserve"> la durée et la complexité du processus d’achat du PFR</w:t>
      </w:r>
    </w:p>
    <w:p w:rsidR="00D7096D" w:rsidRPr="00D7096D" w:rsidRDefault="00D7096D" w:rsidP="00D7096D">
      <w:pPr>
        <w:spacing w:after="0"/>
        <w:rPr>
          <w:color w:val="0070C0"/>
        </w:rPr>
      </w:pPr>
      <w:r w:rsidRPr="00D7096D">
        <w:rPr>
          <w:color w:val="0070C0"/>
        </w:rPr>
        <w:t>Compte tenu de la moindre importance des risques perçus pour trouver une BD d’occasion n’importe quand, le processus de décision d’achat est relativement simple et court. Le besoin à satisfaire est simple, s’inscrit dans une décision habituelle pour un lecteur. La réflexion sera donc courte et simple car il s’agit d’un produit familier. La recherche d’informations portera davantage sur le choix de la BD à acquérir que le lieu d’achat.</w:t>
      </w: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FE4103" w:rsidRPr="009C6984" w:rsidRDefault="00FE4103" w:rsidP="00FE4103">
      <w:pPr>
        <w:shd w:val="clear" w:color="auto" w:fill="FFFFFF"/>
        <w:spacing w:after="160" w:line="240" w:lineRule="auto"/>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Avant de remettre ce document, vérifier que</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Sa présentation est très soignée (pas d’éléments manuscrits sauf autorisation),</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Les fautes d’orthographe et de syntaxe sont inexistantes</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 xml:space="preserve">La durée et la complexité de la décision d’achat sont argumentées en fonction d’éléments vus en cours (pages 11 et 12 support </w:t>
      </w:r>
      <w:proofErr w:type="spellStart"/>
      <w:r w:rsidRPr="009C6984">
        <w:rPr>
          <w:rFonts w:ascii="Comic Sans MS" w:eastAsia="Calibri" w:hAnsi="Comic Sans MS" w:cs="Times New Roman"/>
          <w:szCs w:val="24"/>
        </w:rPr>
        <w:t>pdf</w:t>
      </w:r>
      <w:proofErr w:type="spellEnd"/>
      <w:r w:rsidRPr="009C6984">
        <w:rPr>
          <w:rFonts w:ascii="Comic Sans MS" w:eastAsia="Calibri" w:hAnsi="Comic Sans MS" w:cs="Times New Roman"/>
          <w:szCs w:val="24"/>
        </w:rPr>
        <w:t>),</w:t>
      </w:r>
    </w:p>
    <w:p w:rsidR="00FE4103"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Les risques perçus analysés correspondent à ceux identifiés en cours.</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Pr>
          <w:rFonts w:ascii="Comic Sans MS" w:eastAsia="Calibri" w:hAnsi="Comic Sans MS" w:cs="Times New Roman"/>
          <w:szCs w:val="24"/>
        </w:rPr>
        <w:t xml:space="preserve">En l’absence de l’un de ces éléments, le </w:t>
      </w:r>
      <w:r w:rsidR="00704F89">
        <w:rPr>
          <w:rFonts w:ascii="Comic Sans MS" w:eastAsia="Calibri" w:hAnsi="Comic Sans MS" w:cs="Times New Roman"/>
          <w:szCs w:val="24"/>
        </w:rPr>
        <w:t>document</w:t>
      </w:r>
      <w:r>
        <w:rPr>
          <w:rFonts w:ascii="Comic Sans MS" w:eastAsia="Calibri" w:hAnsi="Comic Sans MS" w:cs="Times New Roman"/>
          <w:szCs w:val="24"/>
        </w:rPr>
        <w:t xml:space="preserve"> ne sera pas lu</w:t>
      </w:r>
      <w:r w:rsidR="00704F89">
        <w:rPr>
          <w:rFonts w:ascii="Comic Sans MS" w:eastAsia="Calibri" w:hAnsi="Comic Sans MS" w:cs="Times New Roman"/>
          <w:szCs w:val="24"/>
        </w:rPr>
        <w:t>.</w:t>
      </w:r>
    </w:p>
    <w:p w:rsidR="005C7EE1" w:rsidRDefault="005C7EE1" w:rsidP="005F563F">
      <w:pPr>
        <w:spacing w:after="0" w:line="240" w:lineRule="auto"/>
        <w:jc w:val="center"/>
        <w:rPr>
          <w:rFonts w:ascii="Arial" w:eastAsia="Times New Roman" w:hAnsi="Arial" w:cs="Arial"/>
          <w:b/>
          <w:i/>
          <w:color w:val="FF0000"/>
          <w:sz w:val="20"/>
          <w:szCs w:val="20"/>
          <w:lang w:eastAsia="fr-FR"/>
        </w:rPr>
      </w:pPr>
    </w:p>
    <w:sectPr w:rsidR="005C7EE1" w:rsidSect="00FE4103">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1F" w:rsidRDefault="00FE461F" w:rsidP="005F563F">
      <w:pPr>
        <w:spacing w:after="0" w:line="240" w:lineRule="auto"/>
      </w:pPr>
      <w:r>
        <w:separator/>
      </w:r>
    </w:p>
  </w:endnote>
  <w:endnote w:type="continuationSeparator" w:id="0">
    <w:p w:rsidR="00FE461F" w:rsidRDefault="00FE461F"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1F" w:rsidRDefault="00FE461F" w:rsidP="005F563F">
      <w:pPr>
        <w:spacing w:after="0" w:line="240" w:lineRule="auto"/>
      </w:pPr>
      <w:r>
        <w:separator/>
      </w:r>
    </w:p>
  </w:footnote>
  <w:footnote w:type="continuationSeparator" w:id="0">
    <w:p w:rsidR="00FE461F" w:rsidRDefault="00FE461F" w:rsidP="005F563F">
      <w:pPr>
        <w:spacing w:after="0" w:line="240" w:lineRule="auto"/>
      </w:pPr>
      <w:r>
        <w:continuationSeparator/>
      </w:r>
    </w:p>
  </w:footnote>
  <w:footnote w:id="1">
    <w:p w:rsidR="0071778F" w:rsidRDefault="0071778F">
      <w:pPr>
        <w:pStyle w:val="Notedebasdepage"/>
      </w:pPr>
      <w:r>
        <w:rPr>
          <w:rStyle w:val="Appelnotedebasdep"/>
        </w:rPr>
        <w:footnoteRef/>
      </w:r>
      <w:r>
        <w:t xml:space="preserve"> </w:t>
      </w:r>
      <w:hyperlink r:id="rId1" w:history="1">
        <w:r w:rsidRPr="006F3BE9">
          <w:rPr>
            <w:rStyle w:val="Lienhypertexte"/>
          </w:rPr>
          <w:t>https://www;terrafemina.com:article/les-7-bienfaits-insoupconnes-de-la-lecture-sur-la-sante-a310548/1</w:t>
        </w:r>
      </w:hyperlink>
    </w:p>
    <w:p w:rsidR="0071778F" w:rsidRDefault="0071778F">
      <w:pPr>
        <w:pStyle w:val="Notedebasdepage"/>
      </w:pPr>
    </w:p>
  </w:footnote>
  <w:footnote w:id="2">
    <w:p w:rsidR="000961DB" w:rsidRDefault="000961DB">
      <w:pPr>
        <w:pStyle w:val="Notedebasdepage"/>
      </w:pPr>
      <w:r>
        <w:rPr>
          <w:rStyle w:val="Appelnotedebasdep"/>
        </w:rPr>
        <w:footnoteRef/>
      </w:r>
      <w:r>
        <w:t xml:space="preserve"> </w:t>
      </w:r>
      <w:hyperlink r:id="rId2" w:history="1">
        <w:r w:rsidRPr="006F3BE9">
          <w:rPr>
            <w:rStyle w:val="Lienhypertexte"/>
          </w:rPr>
          <w:t>https://www.femmesdaujoudhui.be/loisirs/livres/la-lecture-nest-pas-86-des-15-25-ans-aiment-lire/</w:t>
        </w:r>
      </w:hyperlink>
    </w:p>
    <w:p w:rsidR="000961DB" w:rsidRDefault="000961D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CA715B" w:rsidP="00CA715B">
    <w:pPr>
      <w:pStyle w:val="En-tte"/>
      <w:ind w:firstLine="4248"/>
    </w:pPr>
    <w:r>
      <w:rPr>
        <w:noProof/>
        <w:lang w:eastAsia="fr-FR"/>
      </w:rPr>
      <w:drawing>
        <wp:anchor distT="0" distB="0" distL="114300" distR="114300" simplePos="0" relativeHeight="251658240" behindDoc="0" locked="0" layoutInCell="1" allowOverlap="1" wp14:anchorId="11E68C33" wp14:editId="549D47A2">
          <wp:simplePos x="0" y="0"/>
          <wp:positionH relativeFrom="column">
            <wp:posOffset>4649415</wp:posOffset>
          </wp:positionH>
          <wp:positionV relativeFrom="line">
            <wp:posOffset>-387433</wp:posOffset>
          </wp:positionV>
          <wp:extent cx="421005" cy="4514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51485"/>
                  </a:xfrm>
                  <a:prstGeom prst="rect">
                    <a:avLst/>
                  </a:prstGeom>
                  <a:noFill/>
                </pic:spPr>
              </pic:pic>
            </a:graphicData>
          </a:graphic>
          <wp14:sizeRelH relativeFrom="margin">
            <wp14:pctWidth>0</wp14:pctWidth>
          </wp14:sizeRelH>
          <wp14:sizeRelV relativeFrom="margin">
            <wp14:pctHeight>0</wp14:pctHeight>
          </wp14:sizeRelV>
        </wp:anchor>
      </w:drawing>
    </w:r>
    <w:r>
      <w:t>methodepfr@u-bordeaux.fr</w:t>
    </w:r>
  </w:p>
  <w:p w:rsidR="005F563F" w:rsidRDefault="005F56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969"/>
    <w:multiLevelType w:val="hybridMultilevel"/>
    <w:tmpl w:val="38E6284C"/>
    <w:lvl w:ilvl="0" w:tplc="4C46A7F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961DB"/>
    <w:rsid w:val="00203C62"/>
    <w:rsid w:val="002205F6"/>
    <w:rsid w:val="00251504"/>
    <w:rsid w:val="00353402"/>
    <w:rsid w:val="003552FF"/>
    <w:rsid w:val="00515EB7"/>
    <w:rsid w:val="005C7EE1"/>
    <w:rsid w:val="005F563F"/>
    <w:rsid w:val="006E203B"/>
    <w:rsid w:val="00704F89"/>
    <w:rsid w:val="0071778F"/>
    <w:rsid w:val="008B5A4C"/>
    <w:rsid w:val="009C470E"/>
    <w:rsid w:val="00A11DEB"/>
    <w:rsid w:val="00CA715B"/>
    <w:rsid w:val="00D07363"/>
    <w:rsid w:val="00D5693B"/>
    <w:rsid w:val="00D7096D"/>
    <w:rsid w:val="00E9661E"/>
    <w:rsid w:val="00F55045"/>
    <w:rsid w:val="00F7634D"/>
    <w:rsid w:val="00F84C88"/>
    <w:rsid w:val="00FE4103"/>
    <w:rsid w:val="00FE461F"/>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4F89"/>
    <w:pPr>
      <w:ind w:left="720"/>
      <w:contextualSpacing/>
    </w:pPr>
  </w:style>
  <w:style w:type="paragraph" w:styleId="Notedebasdepage">
    <w:name w:val="footnote text"/>
    <w:basedOn w:val="Normal"/>
    <w:link w:val="NotedebasdepageCar"/>
    <w:uiPriority w:val="99"/>
    <w:semiHidden/>
    <w:unhideWhenUsed/>
    <w:rsid w:val="007177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778F"/>
    <w:rPr>
      <w:sz w:val="20"/>
      <w:szCs w:val="20"/>
    </w:rPr>
  </w:style>
  <w:style w:type="character" w:styleId="Appelnotedebasdep">
    <w:name w:val="footnote reference"/>
    <w:basedOn w:val="Policepardfaut"/>
    <w:uiPriority w:val="99"/>
    <w:semiHidden/>
    <w:unhideWhenUsed/>
    <w:rsid w:val="0071778F"/>
    <w:rPr>
      <w:vertAlign w:val="superscript"/>
    </w:rPr>
  </w:style>
  <w:style w:type="character" w:styleId="Lienhypertexte">
    <w:name w:val="Hyperlink"/>
    <w:basedOn w:val="Policepardfaut"/>
    <w:uiPriority w:val="99"/>
    <w:unhideWhenUsed/>
    <w:rsid w:val="00717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4F89"/>
    <w:pPr>
      <w:ind w:left="720"/>
      <w:contextualSpacing/>
    </w:pPr>
  </w:style>
  <w:style w:type="paragraph" w:styleId="Notedebasdepage">
    <w:name w:val="footnote text"/>
    <w:basedOn w:val="Normal"/>
    <w:link w:val="NotedebasdepageCar"/>
    <w:uiPriority w:val="99"/>
    <w:semiHidden/>
    <w:unhideWhenUsed/>
    <w:rsid w:val="007177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778F"/>
    <w:rPr>
      <w:sz w:val="20"/>
      <w:szCs w:val="20"/>
    </w:rPr>
  </w:style>
  <w:style w:type="character" w:styleId="Appelnotedebasdep">
    <w:name w:val="footnote reference"/>
    <w:basedOn w:val="Policepardfaut"/>
    <w:uiPriority w:val="99"/>
    <w:semiHidden/>
    <w:unhideWhenUsed/>
    <w:rsid w:val="0071778F"/>
    <w:rPr>
      <w:vertAlign w:val="superscript"/>
    </w:rPr>
  </w:style>
  <w:style w:type="character" w:styleId="Lienhypertexte">
    <w:name w:val="Hyperlink"/>
    <w:basedOn w:val="Policepardfaut"/>
    <w:uiPriority w:val="99"/>
    <w:unhideWhenUsed/>
    <w:rsid w:val="00717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emmesdaujoudhui.be/loisirs/livres/la-lecture-nest-pas-86-des-15-25-ans-aiment-lire/" TargetMode="External"/><Relationship Id="rId1" Type="http://schemas.openxmlformats.org/officeDocument/2006/relationships/hyperlink" Target="https://www;terrafemina.com:article/les-7-bienfaits-insoupconnes-de-la-lecture-sur-la-sante-a31054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DA9A-AA03-46EF-9C3B-0A3E17F5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4</cp:revision>
  <dcterms:created xsi:type="dcterms:W3CDTF">2020-09-17T10:29:00Z</dcterms:created>
  <dcterms:modified xsi:type="dcterms:W3CDTF">2020-09-24T07:36:00Z</dcterms:modified>
</cp:coreProperties>
</file>