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B9" w:rsidRDefault="006A48B9" w:rsidP="006A48B9">
      <w:pPr>
        <w:spacing w:after="0" w:line="240" w:lineRule="auto"/>
        <w:jc w:val="center"/>
        <w:rPr>
          <w:rFonts w:ascii="Arial" w:eastAsia="Times New Roman" w:hAnsi="Arial" w:cs="Arial"/>
          <w:b/>
          <w:color w:val="FF0000"/>
          <w:sz w:val="20"/>
          <w:szCs w:val="20"/>
          <w:lang w:eastAsia="fr-FR"/>
        </w:rPr>
      </w:pPr>
    </w:p>
    <w:p w:rsidR="006A48B9" w:rsidRDefault="006A48B9" w:rsidP="006A48B9">
      <w:pPr>
        <w:spacing w:after="0" w:line="240" w:lineRule="auto"/>
        <w:jc w:val="center"/>
        <w:rPr>
          <w:rFonts w:ascii="Arial" w:eastAsia="Times New Roman" w:hAnsi="Arial" w:cs="Arial"/>
          <w:b/>
          <w:color w:val="FF0000"/>
          <w:sz w:val="20"/>
          <w:szCs w:val="20"/>
          <w:lang w:eastAsia="fr-FR"/>
        </w:rPr>
      </w:pPr>
    </w:p>
    <w:p w:rsidR="006A48B9" w:rsidRPr="005F563F" w:rsidRDefault="006A48B9" w:rsidP="006A48B9">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6A48B9" w:rsidRPr="005F563F" w:rsidTr="00A76BFA">
        <w:trPr>
          <w:trHeight w:val="761"/>
        </w:trPr>
        <w:tc>
          <w:tcPr>
            <w:tcW w:w="7867" w:type="dxa"/>
          </w:tcPr>
          <w:p w:rsidR="006A48B9" w:rsidRPr="005F563F" w:rsidRDefault="008F1688" w:rsidP="00A76BFA">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DE TYPE</w:t>
            </w:r>
          </w:p>
          <w:p w:rsidR="006A48B9" w:rsidRPr="005F563F" w:rsidRDefault="006A48B9" w:rsidP="00A76BFA">
            <w:pPr>
              <w:spacing w:after="0" w:line="240" w:lineRule="auto"/>
              <w:rPr>
                <w:rFonts w:ascii="Arial" w:eastAsia="Times New Roman" w:hAnsi="Arial" w:cs="Arial"/>
                <w:b/>
                <w:sz w:val="20"/>
                <w:szCs w:val="20"/>
                <w:lang w:eastAsia="fr-FR"/>
              </w:rPr>
            </w:pPr>
          </w:p>
          <w:p w:rsidR="006A48B9" w:rsidRPr="005F563F" w:rsidRDefault="006A48B9" w:rsidP="00A76BFA">
            <w:pPr>
              <w:spacing w:after="0" w:line="240" w:lineRule="auto"/>
              <w:rPr>
                <w:rFonts w:ascii="Arial" w:eastAsia="Times New Roman" w:hAnsi="Arial" w:cs="Arial"/>
                <w:sz w:val="20"/>
                <w:szCs w:val="20"/>
                <w:lang w:eastAsia="fr-FR"/>
              </w:rPr>
            </w:pPr>
          </w:p>
        </w:tc>
      </w:tr>
      <w:tr w:rsidR="006A48B9" w:rsidRPr="005F563F" w:rsidTr="00A76BFA">
        <w:trPr>
          <w:trHeight w:val="761"/>
        </w:trPr>
        <w:tc>
          <w:tcPr>
            <w:tcW w:w="7867" w:type="dxa"/>
          </w:tcPr>
          <w:p w:rsidR="006A48B9" w:rsidRDefault="006A48B9" w:rsidP="00A76BFA">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8F1688">
              <w:rPr>
                <w:rFonts w:ascii="Arial" w:eastAsia="Times New Roman" w:hAnsi="Arial" w:cs="Arial"/>
                <w:b/>
                <w:sz w:val="20"/>
                <w:szCs w:val="20"/>
                <w:lang w:eastAsia="fr-FR"/>
              </w:rPr>
              <w:t xml:space="preserve"> Distributeur connecté de BD d’occasion à Bordeaux</w:t>
            </w:r>
          </w:p>
        </w:tc>
      </w:tr>
    </w:tbl>
    <w:p w:rsidR="006A48B9" w:rsidRPr="005F563F"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tbl>
      <w:tblPr>
        <w:tblStyle w:val="Grilledutableau"/>
        <w:tblW w:w="0" w:type="auto"/>
        <w:jc w:val="center"/>
        <w:tblLook w:val="04A0" w:firstRow="1" w:lastRow="0" w:firstColumn="1" w:lastColumn="0" w:noHBand="0" w:noVBand="1"/>
      </w:tblPr>
      <w:tblGrid>
        <w:gridCol w:w="4606"/>
        <w:gridCol w:w="4606"/>
      </w:tblGrid>
      <w:tr w:rsidR="006A48B9" w:rsidTr="00A76BFA">
        <w:trPr>
          <w:trHeight w:val="1140"/>
          <w:jc w:val="center"/>
        </w:trPr>
        <w:tc>
          <w:tcPr>
            <w:tcW w:w="4606" w:type="dxa"/>
          </w:tcPr>
          <w:p w:rsidR="006A48B9" w:rsidRDefault="006A48B9" w:rsidP="00A76BFA">
            <w:pPr>
              <w:jc w:val="center"/>
              <w:rPr>
                <w:rFonts w:ascii="Arial" w:eastAsia="Times New Roman" w:hAnsi="Arial" w:cs="Arial"/>
                <w:b/>
                <w:i/>
                <w:color w:val="FF0000"/>
                <w:sz w:val="20"/>
                <w:szCs w:val="20"/>
                <w:lang w:eastAsia="fr-FR"/>
              </w:rPr>
            </w:pPr>
            <w:r w:rsidRPr="00E9661E">
              <w:rPr>
                <w:rFonts w:ascii="Arial" w:eastAsia="Times New Roman" w:hAnsi="Arial" w:cs="Arial"/>
                <w:b/>
                <w:i/>
                <w:noProof/>
                <w:sz w:val="20"/>
                <w:szCs w:val="20"/>
                <w:lang w:eastAsia="fr-FR"/>
              </w:rPr>
              <mc:AlternateContent>
                <mc:Choice Requires="wps">
                  <w:drawing>
                    <wp:anchor distT="0" distB="0" distL="114300" distR="114300" simplePos="0" relativeHeight="251659264" behindDoc="0" locked="0" layoutInCell="1" allowOverlap="1" wp14:anchorId="13C850BB" wp14:editId="06CDC8AA">
                      <wp:simplePos x="0" y="0"/>
                      <wp:positionH relativeFrom="column">
                        <wp:posOffset>1302385</wp:posOffset>
                      </wp:positionH>
                      <wp:positionV relativeFrom="paragraph">
                        <wp:posOffset>276225</wp:posOffset>
                      </wp:positionV>
                      <wp:extent cx="342900" cy="358140"/>
                      <wp:effectExtent l="0" t="0" r="19050" b="22860"/>
                      <wp:wrapNone/>
                      <wp:docPr id="2" name="Cadre 2"/>
                      <wp:cNvGraphicFramePr/>
                      <a:graphic xmlns:a="http://schemas.openxmlformats.org/drawingml/2006/main">
                        <a:graphicData uri="http://schemas.microsoft.com/office/word/2010/wordprocessingShape">
                          <wps:wsp>
                            <wps:cNvSpPr/>
                            <wps:spPr>
                              <a:xfrm>
                                <a:off x="0" y="0"/>
                                <a:ext cx="342900" cy="358140"/>
                              </a:xfrm>
                              <a:prstGeom prst="fram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2" o:spid="_x0000_s1026" style="position:absolute;margin-left:102.55pt;margin-top:21.75pt;width:27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" path="m,l342900,r,358140l,358140,,xm42863,42863r,272415l300038,315278r,-272415l42863,42863xe" fillcolor="#4f81bd" strokecolor="windowText"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sz w:val="20"/>
                <w:szCs w:val="20"/>
                <w:lang w:eastAsia="fr-FR"/>
              </w:rPr>
              <w:t>Validé</w:t>
            </w:r>
          </w:p>
        </w:tc>
        <w:tc>
          <w:tcPr>
            <w:tcW w:w="4606" w:type="dxa"/>
          </w:tcPr>
          <w:p w:rsidR="006A48B9" w:rsidRDefault="006A48B9" w:rsidP="00A76BFA">
            <w:pPr>
              <w:jc w:val="center"/>
              <w:rPr>
                <w:rFonts w:ascii="Arial" w:eastAsia="Times New Roman" w:hAnsi="Arial" w:cs="Arial"/>
                <w:b/>
                <w:i/>
                <w:color w:val="FF0000"/>
                <w:sz w:val="20"/>
                <w:szCs w:val="20"/>
                <w:lang w:eastAsia="fr-FR"/>
              </w:rPr>
            </w:pPr>
            <w:r w:rsidRPr="00E9661E">
              <w:rPr>
                <w:rFonts w:ascii="Arial" w:eastAsia="Times New Roman" w:hAnsi="Arial" w:cs="Arial"/>
                <w:b/>
                <w:i/>
                <w:noProof/>
                <w:color w:val="000000" w:themeColor="text1"/>
                <w:sz w:val="20"/>
                <w:szCs w:val="20"/>
                <w:lang w:eastAsia="fr-FR"/>
              </w:rPr>
              <mc:AlternateContent>
                <mc:Choice Requires="wps">
                  <w:drawing>
                    <wp:anchor distT="0" distB="0" distL="114300" distR="114300" simplePos="0" relativeHeight="251660288" behindDoc="0" locked="0" layoutInCell="1" allowOverlap="1" wp14:anchorId="1F97D41D" wp14:editId="1EB11269">
                      <wp:simplePos x="0" y="0"/>
                      <wp:positionH relativeFrom="column">
                        <wp:posOffset>1219835</wp:posOffset>
                      </wp:positionH>
                      <wp:positionV relativeFrom="paragraph">
                        <wp:posOffset>268605</wp:posOffset>
                      </wp:positionV>
                      <wp:extent cx="342900" cy="358140"/>
                      <wp:effectExtent l="0" t="0" r="19050" b="22860"/>
                      <wp:wrapNone/>
                      <wp:docPr id="3" name="Cadre 3"/>
                      <wp:cNvGraphicFramePr/>
                      <a:graphic xmlns:a="http://schemas.openxmlformats.org/drawingml/2006/main">
                        <a:graphicData uri="http://schemas.microsoft.com/office/word/2010/wordprocessingShape">
                          <wps:wsp>
                            <wps:cNvSpPr/>
                            <wps:spPr>
                              <a:xfrm>
                                <a:off x="0" y="0"/>
                                <a:ext cx="342900" cy="358140"/>
                              </a:xfrm>
                              <a:prstGeom prst="fram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3" o:spid="_x0000_s1026" style="position:absolute;margin-left:96.05pt;margin-top:21.15pt;width:27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" path="m,l342900,r,358140l,358140,,xm42863,42863r,272415l300038,315278r,-272415l42863,42863xe" fillcolor="#4f81bd" strokecolor="windowText"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color w:val="000000" w:themeColor="text1"/>
                <w:sz w:val="20"/>
                <w:szCs w:val="20"/>
                <w:lang w:eastAsia="fr-FR"/>
              </w:rPr>
              <w:t>Non validé</w:t>
            </w:r>
          </w:p>
        </w:tc>
      </w:tr>
    </w:tbl>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Pr="003D2E8F" w:rsidRDefault="006A48B9" w:rsidP="00891AF2">
      <w:pPr>
        <w:spacing w:after="0" w:line="240" w:lineRule="auto"/>
        <w:rPr>
          <w:rFonts w:ascii="Comic Sans MS" w:eastAsia="Times New Roman" w:hAnsi="Comic Sans MS" w:cs="Arial"/>
          <w:sz w:val="36"/>
          <w:szCs w:val="36"/>
          <w:u w:val="single"/>
          <w:lang w:eastAsia="fr-FR"/>
        </w:rPr>
      </w:pPr>
      <w:r w:rsidRPr="003D2E8F">
        <w:rPr>
          <w:rFonts w:ascii="Comic Sans MS" w:eastAsia="Times New Roman" w:hAnsi="Comic Sans MS" w:cs="Arial"/>
          <w:sz w:val="36"/>
          <w:szCs w:val="36"/>
          <w:u w:val="single"/>
          <w:lang w:eastAsia="fr-FR"/>
        </w:rPr>
        <w:t>Document d’étape </w:t>
      </w:r>
      <w:r w:rsidR="00891AF2" w:rsidRPr="003D2E8F">
        <w:rPr>
          <w:rFonts w:ascii="Comic Sans MS" w:eastAsia="Times New Roman" w:hAnsi="Comic Sans MS" w:cs="Arial"/>
          <w:i/>
          <w:sz w:val="36"/>
          <w:szCs w:val="36"/>
          <w:u w:val="single"/>
          <w:lang w:eastAsia="fr-FR"/>
        </w:rPr>
        <w:t xml:space="preserve">N° 3 </w:t>
      </w:r>
      <w:r w:rsidRPr="003D2E8F">
        <w:rPr>
          <w:rFonts w:ascii="Comic Sans MS" w:eastAsia="Times New Roman" w:hAnsi="Comic Sans MS" w:cs="Arial"/>
          <w:sz w:val="36"/>
          <w:szCs w:val="36"/>
          <w:u w:val="single"/>
          <w:lang w:eastAsia="fr-FR"/>
        </w:rPr>
        <w:t>: analyse de</w:t>
      </w:r>
      <w:r w:rsidR="003D2E8F">
        <w:rPr>
          <w:rFonts w:ascii="Comic Sans MS" w:eastAsia="Times New Roman" w:hAnsi="Comic Sans MS" w:cs="Arial"/>
          <w:sz w:val="36"/>
          <w:szCs w:val="36"/>
          <w:u w:val="single"/>
          <w:lang w:eastAsia="fr-FR"/>
        </w:rPr>
        <w:t xml:space="preserve">s </w:t>
      </w:r>
      <w:r w:rsidRPr="003D2E8F">
        <w:rPr>
          <w:rFonts w:ascii="Comic Sans MS" w:eastAsia="Times New Roman" w:hAnsi="Comic Sans MS" w:cs="Arial"/>
          <w:sz w:val="36"/>
          <w:szCs w:val="36"/>
          <w:u w:val="single"/>
          <w:lang w:eastAsia="fr-FR"/>
        </w:rPr>
        <w:t>environnement</w:t>
      </w:r>
      <w:r w:rsidR="003D2E8F">
        <w:rPr>
          <w:rFonts w:ascii="Comic Sans MS" w:eastAsia="Times New Roman" w:hAnsi="Comic Sans MS" w:cs="Arial"/>
          <w:sz w:val="36"/>
          <w:szCs w:val="36"/>
          <w:u w:val="single"/>
          <w:lang w:eastAsia="fr-FR"/>
        </w:rPr>
        <w:t>s</w:t>
      </w:r>
      <w:r w:rsidRPr="003D2E8F">
        <w:rPr>
          <w:rFonts w:ascii="Comic Sans MS" w:eastAsia="Times New Roman" w:hAnsi="Comic Sans MS" w:cs="Arial"/>
          <w:sz w:val="36"/>
          <w:szCs w:val="36"/>
          <w:u w:val="single"/>
          <w:lang w:eastAsia="fr-FR"/>
        </w:rPr>
        <w:t xml:space="preserve"> du PFR</w:t>
      </w:r>
    </w:p>
    <w:p w:rsidR="002F014C" w:rsidRPr="003D2E8F" w:rsidRDefault="002F014C" w:rsidP="002F014C">
      <w:pPr>
        <w:shd w:val="clear" w:color="auto" w:fill="FFFFFF"/>
        <w:spacing w:after="160" w:line="240" w:lineRule="auto"/>
        <w:ind w:left="-709" w:right="-993"/>
        <w:jc w:val="center"/>
        <w:textAlignment w:val="baseline"/>
        <w:rPr>
          <w:rFonts w:ascii="Comic Sans MS" w:eastAsia="Calibri" w:hAnsi="Comic Sans MS" w:cs="Times New Roman"/>
          <w:b/>
          <w:sz w:val="18"/>
          <w:szCs w:val="36"/>
        </w:rPr>
      </w:pPr>
      <w:r w:rsidRPr="003D2E8F">
        <w:rPr>
          <w:rFonts w:ascii="Comic Sans MS" w:eastAsia="Calibri" w:hAnsi="Comic Sans MS" w:cs="Times New Roman"/>
          <w:b/>
          <w:i/>
          <w:sz w:val="14"/>
          <w:szCs w:val="36"/>
        </w:rPr>
        <w:t xml:space="preserve">La rédaction de ce  document consiste à retranscrire  de manière  formalisée l’application à votre PFR de concepts relatifs au thème désigné par le titre. </w:t>
      </w:r>
    </w:p>
    <w:p w:rsidR="006A48B9" w:rsidRPr="002100C0" w:rsidRDefault="006A48B9" w:rsidP="006A48B9">
      <w:pPr>
        <w:spacing w:after="0" w:line="240" w:lineRule="auto"/>
        <w:jc w:val="center"/>
        <w:rPr>
          <w:rFonts w:ascii="Comic Sans MS" w:eastAsia="Times New Roman" w:hAnsi="Comic Sans MS" w:cs="Arial"/>
          <w:b/>
          <w:sz w:val="28"/>
          <w:szCs w:val="28"/>
          <w:lang w:eastAsia="fr-FR"/>
        </w:rPr>
      </w:pPr>
    </w:p>
    <w:p w:rsidR="006A48B9" w:rsidRPr="002100C0" w:rsidRDefault="006A48B9" w:rsidP="006A48B9">
      <w:pPr>
        <w:spacing w:after="0" w:line="240" w:lineRule="auto"/>
        <w:jc w:val="center"/>
        <w:rPr>
          <w:rFonts w:ascii="Arial" w:eastAsia="Times New Roman" w:hAnsi="Arial" w:cs="Arial"/>
          <w:b/>
          <w:i/>
          <w:sz w:val="20"/>
          <w:szCs w:val="20"/>
          <w:lang w:eastAsia="fr-FR"/>
        </w:rPr>
      </w:pPr>
    </w:p>
    <w:p w:rsidR="006A48B9" w:rsidRPr="002100C0" w:rsidRDefault="006A48B9" w:rsidP="006A48B9">
      <w:pPr>
        <w:spacing w:after="0" w:line="240" w:lineRule="auto"/>
        <w:jc w:val="center"/>
        <w:rPr>
          <w:rFonts w:ascii="Arial" w:eastAsia="Times New Roman" w:hAnsi="Arial" w:cs="Arial"/>
          <w:b/>
          <w:i/>
          <w:sz w:val="20"/>
          <w:szCs w:val="20"/>
          <w:lang w:eastAsia="fr-FR"/>
        </w:rPr>
      </w:pPr>
      <w:r w:rsidRPr="002100C0">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271"/>
        <w:tblW w:w="6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531"/>
      </w:tblGrid>
      <w:tr w:rsidR="002100C0" w:rsidRPr="002100C0" w:rsidTr="00A76BFA">
        <w:trPr>
          <w:trHeight w:val="314"/>
        </w:trPr>
        <w:tc>
          <w:tcPr>
            <w:tcW w:w="6531" w:type="dxa"/>
          </w:tcPr>
          <w:p w:rsidR="006A48B9" w:rsidRPr="002100C0" w:rsidRDefault="006A48B9" w:rsidP="00A76BFA">
            <w:pPr>
              <w:rPr>
                <w:rFonts w:ascii="Arial Narrow" w:hAnsi="Arial Narrow"/>
                <w:b/>
                <w:sz w:val="18"/>
                <w:szCs w:val="18"/>
              </w:rPr>
            </w:pPr>
            <w:r w:rsidRPr="002100C0">
              <w:rPr>
                <w:rFonts w:ascii="Arial Narrow" w:hAnsi="Arial Narrow"/>
                <w:b/>
                <w:sz w:val="18"/>
                <w:szCs w:val="18"/>
              </w:rPr>
              <w:t xml:space="preserve">Compétences à acquérir </w:t>
            </w:r>
          </w:p>
        </w:tc>
      </w:tr>
      <w:tr w:rsidR="00442619" w:rsidRPr="008E159E" w:rsidTr="00A76BFA">
        <w:trPr>
          <w:trHeight w:val="151"/>
        </w:trPr>
        <w:tc>
          <w:tcPr>
            <w:tcW w:w="6531" w:type="dxa"/>
          </w:tcPr>
          <w:p w:rsidR="00442619" w:rsidRPr="008E159E" w:rsidRDefault="00442619" w:rsidP="00A76BFA">
            <w:pPr>
              <w:rPr>
                <w:rFonts w:ascii="Arial Narrow" w:hAnsi="Arial Narrow" w:cs="Arial"/>
                <w:sz w:val="18"/>
                <w:szCs w:val="18"/>
              </w:rPr>
            </w:pPr>
            <w:r w:rsidRPr="008E159E">
              <w:rPr>
                <w:rFonts w:ascii="Arial Narrow" w:hAnsi="Arial Narrow" w:cs="Arial"/>
                <w:sz w:val="18"/>
                <w:szCs w:val="18"/>
              </w:rPr>
              <w:t>Rechercher les tendances</w:t>
            </w:r>
          </w:p>
        </w:tc>
      </w:tr>
      <w:tr w:rsidR="00442619" w:rsidRPr="008E159E" w:rsidTr="00A76BFA">
        <w:trPr>
          <w:trHeight w:val="151"/>
        </w:trPr>
        <w:tc>
          <w:tcPr>
            <w:tcW w:w="6531" w:type="dxa"/>
          </w:tcPr>
          <w:p w:rsidR="00442619" w:rsidRPr="008E159E" w:rsidRDefault="00442619" w:rsidP="00A76BFA">
            <w:pPr>
              <w:rPr>
                <w:rFonts w:ascii="Arial Narrow" w:hAnsi="Arial Narrow" w:cs="Arial"/>
                <w:sz w:val="18"/>
                <w:szCs w:val="18"/>
              </w:rPr>
            </w:pPr>
            <w:r w:rsidRPr="008E159E">
              <w:rPr>
                <w:rFonts w:ascii="Arial Narrow" w:hAnsi="Arial Narrow" w:cs="Arial"/>
                <w:sz w:val="18"/>
                <w:szCs w:val="18"/>
              </w:rPr>
              <w:t>Souligner les spécificités de l’environnement</w:t>
            </w:r>
          </w:p>
        </w:tc>
      </w:tr>
      <w:tr w:rsidR="00442619" w:rsidRPr="008E159E" w:rsidTr="00A76BFA">
        <w:trPr>
          <w:trHeight w:val="151"/>
        </w:trPr>
        <w:tc>
          <w:tcPr>
            <w:tcW w:w="6531" w:type="dxa"/>
          </w:tcPr>
          <w:p w:rsidR="00442619" w:rsidRPr="008E159E" w:rsidRDefault="00442619" w:rsidP="00A76BFA">
            <w:pPr>
              <w:rPr>
                <w:rFonts w:ascii="Arial Narrow" w:hAnsi="Arial Narrow"/>
                <w:sz w:val="18"/>
                <w:szCs w:val="18"/>
              </w:rPr>
            </w:pPr>
            <w:r w:rsidRPr="00442619">
              <w:rPr>
                <w:rFonts w:ascii="Arial Narrow" w:hAnsi="Arial Narrow"/>
                <w:sz w:val="18"/>
                <w:szCs w:val="18"/>
              </w:rPr>
              <w:t>Décrypter les influences</w:t>
            </w:r>
          </w:p>
        </w:tc>
      </w:tr>
    </w:tbl>
    <w:p w:rsidR="006A48B9" w:rsidRDefault="006A48B9" w:rsidP="006A48B9">
      <w:pPr>
        <w:spacing w:after="0" w:line="240" w:lineRule="auto"/>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6A48B9" w:rsidRDefault="006A48B9" w:rsidP="006A48B9">
      <w:pPr>
        <w:spacing w:after="0" w:line="240" w:lineRule="auto"/>
        <w:jc w:val="center"/>
        <w:rPr>
          <w:rFonts w:ascii="Arial" w:eastAsia="Times New Roman" w:hAnsi="Arial" w:cs="Arial"/>
          <w:b/>
          <w:i/>
          <w:color w:val="FF0000"/>
          <w:sz w:val="20"/>
          <w:szCs w:val="20"/>
          <w:lang w:eastAsia="fr-FR"/>
        </w:rPr>
      </w:pPr>
    </w:p>
    <w:p w:rsidR="003D2E8F" w:rsidRDefault="003D2E8F" w:rsidP="006A48B9">
      <w:pPr>
        <w:spacing w:after="0" w:line="240" w:lineRule="auto"/>
        <w:jc w:val="center"/>
        <w:rPr>
          <w:rFonts w:ascii="Arial" w:eastAsia="Times New Roman" w:hAnsi="Arial" w:cs="Arial"/>
          <w:b/>
          <w:i/>
          <w:color w:val="FF0000"/>
          <w:sz w:val="20"/>
          <w:szCs w:val="20"/>
          <w:lang w:eastAsia="fr-FR"/>
        </w:rPr>
      </w:pPr>
    </w:p>
    <w:p w:rsidR="003D2E8F" w:rsidRDefault="003D2E8F" w:rsidP="006A48B9">
      <w:pPr>
        <w:spacing w:after="0" w:line="240" w:lineRule="auto"/>
        <w:jc w:val="center"/>
        <w:rPr>
          <w:rFonts w:ascii="Arial" w:eastAsia="Times New Roman" w:hAnsi="Arial" w:cs="Arial"/>
          <w:b/>
          <w:i/>
          <w:color w:val="FF0000"/>
          <w:sz w:val="20"/>
          <w:szCs w:val="20"/>
          <w:lang w:eastAsia="fr-FR"/>
        </w:rPr>
      </w:pPr>
    </w:p>
    <w:p w:rsidR="003D2E8F" w:rsidRDefault="003D2E8F" w:rsidP="006A48B9">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5D4CDD44">
            <wp:extent cx="3048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6A48B9" w:rsidRDefault="006A48B9" w:rsidP="006A48B9"/>
    <w:p w:rsidR="003D2E8F" w:rsidRDefault="003D2E8F" w:rsidP="00CD283B">
      <w:pPr>
        <w:rPr>
          <w:rFonts w:ascii="Comic Sans MS" w:hAnsi="Comic Sans MS"/>
        </w:rPr>
      </w:pPr>
    </w:p>
    <w:p w:rsidR="003D2E8F" w:rsidRDefault="003D2E8F" w:rsidP="00CD283B">
      <w:pPr>
        <w:rPr>
          <w:rFonts w:ascii="Comic Sans MS" w:hAnsi="Comic Sans MS"/>
        </w:rPr>
      </w:pPr>
    </w:p>
    <w:p w:rsidR="00CD283B" w:rsidRDefault="00CD283B" w:rsidP="00CD283B">
      <w:pPr>
        <w:rPr>
          <w:rFonts w:ascii="Comic Sans MS" w:hAnsi="Comic Sans MS"/>
        </w:rPr>
      </w:pPr>
      <w:r w:rsidRPr="0092073F">
        <w:rPr>
          <w:rFonts w:ascii="Comic Sans MS" w:hAnsi="Comic Sans MS"/>
        </w:rPr>
        <w:t>Analyse du macro environnement du lancement commercial du PFR</w:t>
      </w:r>
      <w:r>
        <w:rPr>
          <w:rFonts w:ascii="Comic Sans MS" w:hAnsi="Comic Sans MS"/>
        </w:rPr>
        <w:t xml:space="preserve"> : citer et décrypter deux tendances </w:t>
      </w:r>
      <w:r w:rsidRPr="00F271CA">
        <w:rPr>
          <w:rFonts w:ascii="Comic Sans MS" w:hAnsi="Comic Sans MS"/>
          <w:b/>
        </w:rPr>
        <w:t>fortement en lien</w:t>
      </w:r>
      <w:r>
        <w:rPr>
          <w:rFonts w:ascii="Comic Sans MS" w:hAnsi="Comic Sans MS"/>
        </w:rPr>
        <w:t xml:space="preserve"> avec le marché générique </w:t>
      </w:r>
    </w:p>
    <w:p w:rsidR="003D2E8F" w:rsidRDefault="003D2E8F" w:rsidP="00CD283B">
      <w:pPr>
        <w:shd w:val="clear" w:color="auto" w:fill="FFFFFF"/>
        <w:spacing w:after="160" w:line="240" w:lineRule="auto"/>
        <w:rPr>
          <w:rFonts w:ascii="Comic Sans MS" w:hAnsi="Comic Sans MS"/>
        </w:rPr>
      </w:pPr>
    </w:p>
    <w:p w:rsidR="00CD283B" w:rsidRDefault="00CD283B" w:rsidP="00CD283B">
      <w:pPr>
        <w:shd w:val="clear" w:color="auto" w:fill="FFFFFF"/>
        <w:spacing w:after="160" w:line="240" w:lineRule="auto"/>
        <w:rPr>
          <w:rFonts w:ascii="Comic Sans MS" w:eastAsia="Calibri" w:hAnsi="Comic Sans MS" w:cs="Times New Roman"/>
          <w:color w:val="FF0000"/>
          <w:sz w:val="24"/>
          <w:szCs w:val="24"/>
        </w:rPr>
      </w:pPr>
      <w:r w:rsidRPr="0092073F">
        <w:rPr>
          <w:rFonts w:ascii="Comic Sans MS" w:hAnsi="Comic Sans MS"/>
        </w:rPr>
        <w:t xml:space="preserve">Analyse du </w:t>
      </w:r>
      <w:r>
        <w:rPr>
          <w:rFonts w:ascii="Comic Sans MS" w:hAnsi="Comic Sans MS"/>
        </w:rPr>
        <w:t xml:space="preserve">micro </w:t>
      </w:r>
      <w:r w:rsidRPr="0092073F">
        <w:rPr>
          <w:rFonts w:ascii="Comic Sans MS" w:hAnsi="Comic Sans MS"/>
        </w:rPr>
        <w:t xml:space="preserve">environnement du lancement commercial du PFR : citer et décrypter </w:t>
      </w:r>
      <w:r>
        <w:rPr>
          <w:rFonts w:ascii="Comic Sans MS" w:hAnsi="Comic Sans MS"/>
        </w:rPr>
        <w:t xml:space="preserve">le rôle de </w:t>
      </w:r>
      <w:r w:rsidRPr="0092073F">
        <w:rPr>
          <w:rFonts w:ascii="Comic Sans MS" w:hAnsi="Comic Sans MS"/>
        </w:rPr>
        <w:t xml:space="preserve">deux </w:t>
      </w:r>
      <w:r>
        <w:rPr>
          <w:rFonts w:ascii="Comic Sans MS" w:hAnsi="Comic Sans MS"/>
        </w:rPr>
        <w:t>acteurs</w:t>
      </w:r>
      <w:r w:rsidRPr="0092073F">
        <w:rPr>
          <w:rFonts w:ascii="Comic Sans MS" w:hAnsi="Comic Sans MS"/>
        </w:rPr>
        <w:t xml:space="preserve"> </w:t>
      </w:r>
      <w:r w:rsidRPr="00F271CA">
        <w:rPr>
          <w:rFonts w:ascii="Comic Sans MS" w:hAnsi="Comic Sans MS"/>
          <w:b/>
        </w:rPr>
        <w:t>vraiment spécifiques</w:t>
      </w:r>
      <w:r>
        <w:rPr>
          <w:rFonts w:ascii="Comic Sans MS" w:hAnsi="Comic Sans MS"/>
        </w:rPr>
        <w:t xml:space="preserve"> à l’environnement du PFR et </w:t>
      </w:r>
      <w:r w:rsidRPr="00E171CC">
        <w:rPr>
          <w:rFonts w:ascii="Comic Sans MS" w:hAnsi="Comic Sans MS"/>
          <w:i/>
        </w:rPr>
        <w:t>non encore étudié</w:t>
      </w:r>
      <w:r w:rsidR="00F271CA">
        <w:rPr>
          <w:rFonts w:ascii="Comic Sans MS" w:hAnsi="Comic Sans MS"/>
          <w:i/>
        </w:rPr>
        <w:t>s dans les précédentes étapes (</w:t>
      </w:r>
      <w:r w:rsidRPr="00E171CC">
        <w:rPr>
          <w:rFonts w:ascii="Comic Sans MS" w:hAnsi="Comic Sans MS"/>
          <w:i/>
        </w:rPr>
        <w:t>pas les clients, les concurrents etc.)</w:t>
      </w:r>
    </w:p>
    <w:p w:rsidR="00CD283B" w:rsidRPr="002100C0" w:rsidRDefault="00CD283B" w:rsidP="00CD283B">
      <w:pPr>
        <w:shd w:val="clear" w:color="auto" w:fill="FFFFFF"/>
        <w:spacing w:after="160" w:line="240" w:lineRule="auto"/>
        <w:jc w:val="center"/>
        <w:rPr>
          <w:rFonts w:ascii="Comic Sans MS" w:eastAsia="Calibri" w:hAnsi="Comic Sans MS" w:cs="Times New Roman"/>
          <w:sz w:val="24"/>
          <w:szCs w:val="24"/>
        </w:rPr>
      </w:pPr>
      <w:r w:rsidRPr="002100C0">
        <w:rPr>
          <w:rFonts w:ascii="Comic Sans MS" w:eastAsia="Calibri" w:hAnsi="Comic Sans MS" w:cs="Times New Roman"/>
          <w:sz w:val="24"/>
          <w:szCs w:val="24"/>
        </w:rPr>
        <w:t>Avant de remettre ce document, vérifier que</w:t>
      </w:r>
      <w:r w:rsidR="00F271CA" w:rsidRPr="002100C0">
        <w:rPr>
          <w:rFonts w:ascii="Comic Sans MS" w:eastAsia="Calibri" w:hAnsi="Comic Sans MS" w:cs="Times New Roman"/>
          <w:sz w:val="24"/>
          <w:szCs w:val="24"/>
        </w:rPr>
        <w:t> :</w:t>
      </w:r>
    </w:p>
    <w:p w:rsidR="00CD283B" w:rsidRPr="002100C0" w:rsidRDefault="00CD283B" w:rsidP="00CD283B">
      <w:pPr>
        <w:numPr>
          <w:ilvl w:val="0"/>
          <w:numId w:val="1"/>
        </w:numPr>
        <w:shd w:val="clear" w:color="auto" w:fill="FFFFFF"/>
        <w:spacing w:after="160" w:line="240" w:lineRule="auto"/>
        <w:contextualSpacing/>
        <w:jc w:val="both"/>
        <w:textAlignment w:val="baseline"/>
        <w:rPr>
          <w:rFonts w:ascii="Comic Sans MS" w:eastAsia="Calibri" w:hAnsi="Comic Sans MS" w:cs="Times New Roman"/>
          <w:sz w:val="16"/>
          <w:szCs w:val="24"/>
        </w:rPr>
      </w:pPr>
      <w:r w:rsidRPr="002100C0">
        <w:rPr>
          <w:rFonts w:ascii="Comic Sans MS" w:eastAsia="Calibri" w:hAnsi="Comic Sans MS" w:cs="Times New Roman"/>
          <w:sz w:val="16"/>
          <w:szCs w:val="24"/>
        </w:rPr>
        <w:t xml:space="preserve">Sa présentation </w:t>
      </w:r>
      <w:r w:rsidR="00891AF2" w:rsidRPr="002100C0">
        <w:rPr>
          <w:rFonts w:ascii="Comic Sans MS" w:eastAsia="Calibri" w:hAnsi="Comic Sans MS" w:cs="Times New Roman"/>
          <w:sz w:val="16"/>
          <w:szCs w:val="24"/>
        </w:rPr>
        <w:t>est très soignée (pas d’élément</w:t>
      </w:r>
      <w:r w:rsidRPr="002100C0">
        <w:rPr>
          <w:rFonts w:ascii="Comic Sans MS" w:eastAsia="Calibri" w:hAnsi="Comic Sans MS" w:cs="Times New Roman"/>
          <w:sz w:val="16"/>
          <w:szCs w:val="24"/>
        </w:rPr>
        <w:t xml:space="preserve"> manuscrit sauf autorisation),</w:t>
      </w:r>
    </w:p>
    <w:p w:rsidR="00F271CA" w:rsidRPr="002100C0" w:rsidRDefault="00F271CA" w:rsidP="00F271CA">
      <w:pPr>
        <w:numPr>
          <w:ilvl w:val="0"/>
          <w:numId w:val="1"/>
        </w:numPr>
        <w:shd w:val="clear" w:color="auto" w:fill="FFFFFF"/>
        <w:spacing w:after="160" w:line="240" w:lineRule="auto"/>
        <w:contextualSpacing/>
        <w:jc w:val="both"/>
        <w:textAlignment w:val="baseline"/>
        <w:rPr>
          <w:rFonts w:ascii="Comic Sans MS" w:eastAsia="Calibri" w:hAnsi="Comic Sans MS" w:cs="Times New Roman"/>
          <w:sz w:val="16"/>
          <w:szCs w:val="24"/>
        </w:rPr>
      </w:pPr>
      <w:r w:rsidRPr="002100C0">
        <w:rPr>
          <w:rFonts w:ascii="Comic Sans MS" w:eastAsia="Calibri" w:hAnsi="Comic Sans MS" w:cs="Times New Roman"/>
          <w:sz w:val="16"/>
          <w:szCs w:val="24"/>
        </w:rPr>
        <w:t>Les fautes d’orthographe et de syntaxe sont inexistantes</w:t>
      </w:r>
    </w:p>
    <w:p w:rsidR="00CD283B" w:rsidRPr="002100C0" w:rsidRDefault="00CD283B" w:rsidP="00CD283B">
      <w:pPr>
        <w:numPr>
          <w:ilvl w:val="0"/>
          <w:numId w:val="1"/>
        </w:numPr>
        <w:shd w:val="clear" w:color="auto" w:fill="FFFFFF"/>
        <w:spacing w:after="160" w:line="240" w:lineRule="auto"/>
        <w:contextualSpacing/>
        <w:jc w:val="both"/>
        <w:textAlignment w:val="baseline"/>
        <w:rPr>
          <w:rFonts w:ascii="Comic Sans MS" w:eastAsia="Calibri" w:hAnsi="Comic Sans MS" w:cs="Times New Roman"/>
          <w:sz w:val="16"/>
          <w:szCs w:val="24"/>
        </w:rPr>
      </w:pPr>
      <w:r w:rsidRPr="002100C0">
        <w:rPr>
          <w:rFonts w:ascii="Comic Sans MS" w:eastAsia="Calibri" w:hAnsi="Comic Sans MS" w:cs="Times New Roman"/>
          <w:sz w:val="16"/>
          <w:szCs w:val="24"/>
        </w:rPr>
        <w:t xml:space="preserve">Les tendances envisagées concernent </w:t>
      </w:r>
      <w:r w:rsidRPr="002100C0">
        <w:rPr>
          <w:rFonts w:ascii="Comic Sans MS" w:eastAsia="Calibri" w:hAnsi="Comic Sans MS" w:cs="Times New Roman"/>
          <w:i/>
          <w:sz w:val="16"/>
          <w:szCs w:val="24"/>
        </w:rPr>
        <w:t>vraiment</w:t>
      </w:r>
      <w:r w:rsidRPr="002100C0">
        <w:rPr>
          <w:rFonts w:ascii="Comic Sans MS" w:eastAsia="Calibri" w:hAnsi="Comic Sans MS" w:cs="Times New Roman"/>
          <w:sz w:val="16"/>
          <w:szCs w:val="24"/>
        </w:rPr>
        <w:t xml:space="preserve"> le PFR</w:t>
      </w:r>
    </w:p>
    <w:p w:rsidR="00CD283B" w:rsidRPr="002100C0" w:rsidRDefault="00CD283B" w:rsidP="00CD283B">
      <w:pPr>
        <w:numPr>
          <w:ilvl w:val="0"/>
          <w:numId w:val="1"/>
        </w:numPr>
        <w:shd w:val="clear" w:color="auto" w:fill="FFFFFF"/>
        <w:spacing w:after="160" w:line="240" w:lineRule="auto"/>
        <w:contextualSpacing/>
        <w:jc w:val="both"/>
        <w:textAlignment w:val="baseline"/>
        <w:rPr>
          <w:rFonts w:ascii="Comic Sans MS" w:eastAsia="Calibri" w:hAnsi="Comic Sans MS" w:cs="Times New Roman"/>
          <w:sz w:val="16"/>
          <w:szCs w:val="24"/>
        </w:rPr>
      </w:pPr>
      <w:r w:rsidRPr="002100C0">
        <w:rPr>
          <w:rFonts w:ascii="Comic Sans MS" w:eastAsia="Calibri" w:hAnsi="Comic Sans MS" w:cs="Times New Roman"/>
          <w:sz w:val="16"/>
          <w:szCs w:val="24"/>
        </w:rPr>
        <w:t xml:space="preserve">Les acteurs sont </w:t>
      </w:r>
      <w:r w:rsidRPr="002100C0">
        <w:rPr>
          <w:rFonts w:ascii="Comic Sans MS" w:eastAsia="Calibri" w:hAnsi="Comic Sans MS" w:cs="Times New Roman"/>
          <w:i/>
          <w:sz w:val="16"/>
          <w:szCs w:val="24"/>
        </w:rPr>
        <w:t>vraiment</w:t>
      </w:r>
      <w:r w:rsidRPr="002100C0">
        <w:rPr>
          <w:rFonts w:ascii="Comic Sans MS" w:eastAsia="Calibri" w:hAnsi="Comic Sans MS" w:cs="Times New Roman"/>
          <w:sz w:val="16"/>
          <w:szCs w:val="24"/>
        </w:rPr>
        <w:t xml:space="preserve">  spécifiques, cités de manière non générale, avec des exemples</w:t>
      </w:r>
    </w:p>
    <w:p w:rsidR="00CD283B" w:rsidRPr="002100C0" w:rsidRDefault="00CD283B" w:rsidP="00CD283B">
      <w:pPr>
        <w:numPr>
          <w:ilvl w:val="0"/>
          <w:numId w:val="1"/>
        </w:numPr>
        <w:shd w:val="clear" w:color="auto" w:fill="FFFFFF"/>
        <w:spacing w:after="160" w:line="240" w:lineRule="auto"/>
        <w:contextualSpacing/>
        <w:jc w:val="both"/>
        <w:textAlignment w:val="baseline"/>
        <w:rPr>
          <w:rFonts w:ascii="Comic Sans MS" w:eastAsia="Calibri" w:hAnsi="Comic Sans MS" w:cs="Times New Roman"/>
          <w:sz w:val="16"/>
          <w:szCs w:val="24"/>
        </w:rPr>
      </w:pPr>
      <w:r w:rsidRPr="002100C0">
        <w:rPr>
          <w:rFonts w:ascii="Comic Sans MS" w:eastAsia="Calibri" w:hAnsi="Comic Sans MS" w:cs="Times New Roman"/>
          <w:sz w:val="16"/>
          <w:szCs w:val="24"/>
        </w:rPr>
        <w:t>Les opportunités et menaces décryptées sont externes et non relatives à des points forts ou faibles du</w:t>
      </w:r>
      <w:r w:rsidR="00F271CA" w:rsidRPr="002100C0">
        <w:rPr>
          <w:rFonts w:ascii="Comic Sans MS" w:eastAsia="Calibri" w:hAnsi="Comic Sans MS" w:cs="Times New Roman"/>
          <w:sz w:val="16"/>
          <w:szCs w:val="24"/>
        </w:rPr>
        <w:t xml:space="preserve"> PFR</w:t>
      </w:r>
    </w:p>
    <w:p w:rsidR="00CD283B" w:rsidRPr="002100C0" w:rsidRDefault="00CD283B" w:rsidP="00CD283B">
      <w:pPr>
        <w:numPr>
          <w:ilvl w:val="0"/>
          <w:numId w:val="1"/>
        </w:numPr>
        <w:shd w:val="clear" w:color="auto" w:fill="FFFFFF"/>
        <w:spacing w:after="160" w:line="240" w:lineRule="auto"/>
        <w:contextualSpacing/>
        <w:jc w:val="both"/>
        <w:textAlignment w:val="baseline"/>
        <w:rPr>
          <w:rFonts w:ascii="Comic Sans MS" w:eastAsia="Calibri" w:hAnsi="Comic Sans MS" w:cs="Times New Roman"/>
          <w:sz w:val="18"/>
          <w:szCs w:val="24"/>
        </w:rPr>
      </w:pPr>
      <w:r w:rsidRPr="002100C0">
        <w:rPr>
          <w:rFonts w:ascii="Comic Sans MS" w:eastAsia="Calibri" w:hAnsi="Comic Sans MS" w:cs="Times New Roman"/>
          <w:sz w:val="16"/>
          <w:szCs w:val="24"/>
        </w:rPr>
        <w:t>Les sources sont titrées et datées</w:t>
      </w:r>
      <w:r w:rsidRPr="002100C0">
        <w:rPr>
          <w:rFonts w:ascii="Comic Sans MS" w:eastAsia="Calibri" w:hAnsi="Comic Sans MS" w:cs="Times New Roman"/>
          <w:sz w:val="18"/>
          <w:szCs w:val="24"/>
        </w:rPr>
        <w:t>.</w:t>
      </w:r>
    </w:p>
    <w:p w:rsidR="00CD283B" w:rsidRPr="003D2E8F" w:rsidRDefault="00CD283B" w:rsidP="00CD283B">
      <w:pPr>
        <w:shd w:val="clear" w:color="auto" w:fill="FFFFFF"/>
        <w:spacing w:after="160" w:line="240" w:lineRule="auto"/>
        <w:ind w:left="720"/>
        <w:contextualSpacing/>
        <w:jc w:val="both"/>
        <w:rPr>
          <w:rFonts w:ascii="Comic Sans MS" w:eastAsia="Calibri" w:hAnsi="Comic Sans MS" w:cs="Times New Roman"/>
          <w:b/>
          <w:sz w:val="16"/>
          <w:szCs w:val="24"/>
        </w:rPr>
      </w:pPr>
      <w:r w:rsidRPr="003D2E8F">
        <w:rPr>
          <w:rFonts w:ascii="Comic Sans MS" w:eastAsia="Calibri" w:hAnsi="Comic Sans MS" w:cs="Times New Roman"/>
          <w:b/>
          <w:sz w:val="16"/>
          <w:szCs w:val="24"/>
        </w:rPr>
        <w:t>En l’absence d</w:t>
      </w:r>
      <w:r w:rsidR="00891AF2" w:rsidRPr="003D2E8F">
        <w:rPr>
          <w:rFonts w:ascii="Comic Sans MS" w:eastAsia="Calibri" w:hAnsi="Comic Sans MS" w:cs="Times New Roman"/>
          <w:b/>
          <w:sz w:val="16"/>
          <w:szCs w:val="24"/>
        </w:rPr>
        <w:t>’un de ces éléments le document</w:t>
      </w:r>
      <w:r w:rsidRPr="003D2E8F">
        <w:rPr>
          <w:rFonts w:ascii="Comic Sans MS" w:eastAsia="Calibri" w:hAnsi="Comic Sans MS" w:cs="Times New Roman"/>
          <w:b/>
          <w:sz w:val="16"/>
          <w:szCs w:val="24"/>
        </w:rPr>
        <w:t xml:space="preserve"> ne sera pas lu</w:t>
      </w:r>
      <w:r w:rsidR="00F271CA" w:rsidRPr="003D2E8F">
        <w:rPr>
          <w:rFonts w:ascii="Comic Sans MS" w:eastAsia="Calibri" w:hAnsi="Comic Sans MS" w:cs="Times New Roman"/>
          <w:b/>
          <w:sz w:val="16"/>
          <w:szCs w:val="24"/>
        </w:rPr>
        <w:t>.</w:t>
      </w:r>
    </w:p>
    <w:p w:rsidR="0092073F" w:rsidRPr="003D2E8F" w:rsidRDefault="0092073F">
      <w:pPr>
        <w:rPr>
          <w:sz w:val="14"/>
        </w:rPr>
      </w:pPr>
    </w:p>
    <w:tbl>
      <w:tblPr>
        <w:tblStyle w:val="Grilledutableau"/>
        <w:tblW w:w="0" w:type="auto"/>
        <w:tblLook w:val="04A0" w:firstRow="1" w:lastRow="0" w:firstColumn="1" w:lastColumn="0" w:noHBand="0" w:noVBand="1"/>
      </w:tblPr>
      <w:tblGrid>
        <w:gridCol w:w="1876"/>
        <w:gridCol w:w="2325"/>
        <w:gridCol w:w="1775"/>
        <w:gridCol w:w="3312"/>
      </w:tblGrid>
      <w:tr w:rsidR="006A48B9" w:rsidTr="005E4DD3">
        <w:tc>
          <w:tcPr>
            <w:tcW w:w="1951" w:type="dxa"/>
          </w:tcPr>
          <w:p w:rsidR="006A48B9" w:rsidRDefault="006A48B9">
            <w:pPr>
              <w:rPr>
                <w:rFonts w:ascii="Comic Sans MS" w:hAnsi="Comic Sans MS"/>
              </w:rPr>
            </w:pPr>
            <w:r>
              <w:rPr>
                <w:rFonts w:ascii="Comic Sans MS" w:hAnsi="Comic Sans MS"/>
              </w:rPr>
              <w:t>Tendances</w:t>
            </w:r>
          </w:p>
        </w:tc>
        <w:tc>
          <w:tcPr>
            <w:tcW w:w="2228" w:type="dxa"/>
          </w:tcPr>
          <w:p w:rsidR="006A48B9" w:rsidRDefault="006A48B9">
            <w:pPr>
              <w:rPr>
                <w:rFonts w:ascii="Comic Sans MS" w:hAnsi="Comic Sans MS"/>
              </w:rPr>
            </w:pPr>
            <w:r>
              <w:rPr>
                <w:rFonts w:ascii="Comic Sans MS" w:hAnsi="Comic Sans MS"/>
              </w:rPr>
              <w:t>Description</w:t>
            </w:r>
          </w:p>
        </w:tc>
        <w:tc>
          <w:tcPr>
            <w:tcW w:w="1883" w:type="dxa"/>
          </w:tcPr>
          <w:p w:rsidR="006A48B9" w:rsidRDefault="006A48B9">
            <w:pPr>
              <w:rPr>
                <w:rFonts w:ascii="Comic Sans MS" w:hAnsi="Comic Sans MS"/>
              </w:rPr>
            </w:pPr>
            <w:r>
              <w:rPr>
                <w:rFonts w:ascii="Comic Sans MS" w:hAnsi="Comic Sans MS"/>
              </w:rPr>
              <w:t>Opportunité ou menace</w:t>
            </w:r>
          </w:p>
        </w:tc>
        <w:tc>
          <w:tcPr>
            <w:tcW w:w="2695" w:type="dxa"/>
          </w:tcPr>
          <w:p w:rsidR="006A48B9" w:rsidRDefault="006A48B9">
            <w:pPr>
              <w:rPr>
                <w:rFonts w:ascii="Comic Sans MS" w:hAnsi="Comic Sans MS"/>
              </w:rPr>
            </w:pPr>
            <w:r>
              <w:rPr>
                <w:rFonts w:ascii="Comic Sans MS" w:hAnsi="Comic Sans MS"/>
              </w:rPr>
              <w:t>Source</w:t>
            </w:r>
          </w:p>
        </w:tc>
      </w:tr>
      <w:tr w:rsidR="006A48B9" w:rsidTr="005E4DD3">
        <w:trPr>
          <w:trHeight w:val="464"/>
        </w:trPr>
        <w:tc>
          <w:tcPr>
            <w:tcW w:w="1951" w:type="dxa"/>
          </w:tcPr>
          <w:p w:rsidR="008F1688" w:rsidRDefault="008F1688">
            <w:pPr>
              <w:rPr>
                <w:rFonts w:ascii="Comic Sans MS" w:hAnsi="Comic Sans MS"/>
              </w:rPr>
            </w:pPr>
            <w:r>
              <w:rPr>
                <w:rFonts w:ascii="Comic Sans MS" w:hAnsi="Comic Sans MS"/>
              </w:rPr>
              <w:t>Ecologique</w:t>
            </w:r>
          </w:p>
        </w:tc>
        <w:tc>
          <w:tcPr>
            <w:tcW w:w="2228" w:type="dxa"/>
          </w:tcPr>
          <w:p w:rsidR="006A48B9" w:rsidRDefault="008F1688">
            <w:pPr>
              <w:rPr>
                <w:rFonts w:ascii="Comic Sans MS" w:hAnsi="Comic Sans MS"/>
              </w:rPr>
            </w:pPr>
            <w:r>
              <w:rPr>
                <w:rFonts w:ascii="Comic Sans MS" w:hAnsi="Comic Sans MS"/>
              </w:rPr>
              <w:t>Les Bordelais sont en attente de</w:t>
            </w:r>
            <w:r w:rsidR="005E4DD3">
              <w:rPr>
                <w:rFonts w:ascii="Comic Sans MS" w:hAnsi="Comic Sans MS"/>
              </w:rPr>
              <w:t xml:space="preserve"> produits respectueux de la planète. Les produits d’occasion correspondent désormais à un nouveau mode de consommation en cohérence avec une consommation responsable. Le souci de la préservation de l’environnement favorise l’utilisation du PFR.</w:t>
            </w:r>
          </w:p>
        </w:tc>
        <w:tc>
          <w:tcPr>
            <w:tcW w:w="1883" w:type="dxa"/>
          </w:tcPr>
          <w:p w:rsidR="006A48B9" w:rsidRDefault="005E4DD3">
            <w:pPr>
              <w:rPr>
                <w:rFonts w:ascii="Comic Sans MS" w:hAnsi="Comic Sans MS"/>
              </w:rPr>
            </w:pPr>
            <w:r>
              <w:rPr>
                <w:rFonts w:ascii="Comic Sans MS" w:hAnsi="Comic Sans MS"/>
              </w:rPr>
              <w:t xml:space="preserve">Opportunité </w:t>
            </w:r>
          </w:p>
        </w:tc>
        <w:tc>
          <w:tcPr>
            <w:tcW w:w="2695" w:type="dxa"/>
          </w:tcPr>
          <w:p w:rsidR="006A48B9" w:rsidRPr="005E4DD3" w:rsidRDefault="00CB4326">
            <w:pPr>
              <w:rPr>
                <w:rFonts w:ascii="Comic Sans MS" w:hAnsi="Comic Sans MS"/>
              </w:rPr>
            </w:pPr>
            <w:hyperlink r:id="rId9" w:anchor="gs.b571lj" w:history="1">
              <w:r w:rsidR="005E4DD3" w:rsidRPr="005E4DD3">
                <w:rPr>
                  <w:rStyle w:val="Lienhypertexte"/>
                  <w:rFonts w:ascii="Comic Sans MS" w:hAnsi="Comic Sans MS"/>
                </w:rPr>
                <w:t>https://e-rse.net/consommation-responsable-tendance-marques-24726/#gs.b571lj</w:t>
              </w:r>
            </w:hyperlink>
          </w:p>
          <w:p w:rsidR="005E4DD3" w:rsidRDefault="005E4DD3">
            <w:pPr>
              <w:rPr>
                <w:rFonts w:ascii="Comic Sans MS" w:hAnsi="Comic Sans MS"/>
              </w:rPr>
            </w:pPr>
          </w:p>
        </w:tc>
      </w:tr>
      <w:tr w:rsidR="006A48B9" w:rsidTr="005E4DD3">
        <w:trPr>
          <w:trHeight w:val="428"/>
        </w:trPr>
        <w:tc>
          <w:tcPr>
            <w:tcW w:w="1951" w:type="dxa"/>
          </w:tcPr>
          <w:p w:rsidR="006A48B9" w:rsidRDefault="005E4DD3">
            <w:pPr>
              <w:rPr>
                <w:rFonts w:ascii="Comic Sans MS" w:hAnsi="Comic Sans MS"/>
              </w:rPr>
            </w:pPr>
            <w:r>
              <w:rPr>
                <w:rFonts w:ascii="Comic Sans MS" w:hAnsi="Comic Sans MS"/>
              </w:rPr>
              <w:t xml:space="preserve">Technologique </w:t>
            </w:r>
          </w:p>
        </w:tc>
        <w:tc>
          <w:tcPr>
            <w:tcW w:w="2228" w:type="dxa"/>
          </w:tcPr>
          <w:p w:rsidR="006A48B9" w:rsidRDefault="005E4DD3" w:rsidP="005E4DD3">
            <w:pPr>
              <w:rPr>
                <w:rFonts w:ascii="Comic Sans MS" w:hAnsi="Comic Sans MS"/>
              </w:rPr>
            </w:pPr>
            <w:r>
              <w:rPr>
                <w:rFonts w:ascii="Comic Sans MS" w:hAnsi="Comic Sans MS"/>
              </w:rPr>
              <w:t xml:space="preserve">Avec l’avancée  d’internet, les individus ont accès aux produits des industries </w:t>
            </w:r>
            <w:r>
              <w:rPr>
                <w:rFonts w:ascii="Comic Sans MS" w:hAnsi="Comic Sans MS"/>
              </w:rPr>
              <w:lastRenderedPageBreak/>
              <w:t>culturelles très facilement. Le taux de lecteurs numériques a sensiblement augmenté entre 2015 et 2019 passant de 19% à 24%.</w:t>
            </w:r>
          </w:p>
        </w:tc>
        <w:tc>
          <w:tcPr>
            <w:tcW w:w="1883" w:type="dxa"/>
          </w:tcPr>
          <w:p w:rsidR="006A48B9" w:rsidRDefault="005E4DD3">
            <w:pPr>
              <w:rPr>
                <w:rFonts w:ascii="Comic Sans MS" w:hAnsi="Comic Sans MS"/>
              </w:rPr>
            </w:pPr>
            <w:r>
              <w:rPr>
                <w:rFonts w:ascii="Comic Sans MS" w:hAnsi="Comic Sans MS"/>
              </w:rPr>
              <w:lastRenderedPageBreak/>
              <w:t>Menace</w:t>
            </w:r>
          </w:p>
        </w:tc>
        <w:tc>
          <w:tcPr>
            <w:tcW w:w="2695" w:type="dxa"/>
          </w:tcPr>
          <w:p w:rsidR="006A48B9" w:rsidRDefault="00CB4326">
            <w:pPr>
              <w:rPr>
                <w:rFonts w:ascii="Comic Sans MS" w:hAnsi="Comic Sans MS"/>
              </w:rPr>
            </w:pPr>
            <w:hyperlink r:id="rId10" w:history="1">
              <w:r w:rsidR="005E4DD3" w:rsidRPr="006F3BE9">
                <w:rPr>
                  <w:rStyle w:val="Lienhypertexte"/>
                  <w:rFonts w:ascii="Comic Sans MS" w:hAnsi="Comic Sans MS"/>
                </w:rPr>
                <w:t>https://www.cairn.info/revue-l-observatoire-2010-2-page-18.htm</w:t>
              </w:r>
            </w:hyperlink>
          </w:p>
          <w:p w:rsidR="005E4DD3" w:rsidRDefault="005E4DD3">
            <w:pPr>
              <w:rPr>
                <w:rFonts w:ascii="Comic Sans MS" w:hAnsi="Comic Sans MS"/>
              </w:rPr>
            </w:pPr>
          </w:p>
        </w:tc>
      </w:tr>
    </w:tbl>
    <w:p w:rsidR="0092073F" w:rsidRDefault="0092073F">
      <w:pPr>
        <w:rPr>
          <w:rFonts w:ascii="Comic Sans MS" w:hAnsi="Comic Sans MS"/>
        </w:rPr>
      </w:pPr>
    </w:p>
    <w:tbl>
      <w:tblPr>
        <w:tblStyle w:val="Grilledutableau"/>
        <w:tblW w:w="0" w:type="auto"/>
        <w:tblLayout w:type="fixed"/>
        <w:tblLook w:val="04A0" w:firstRow="1" w:lastRow="0" w:firstColumn="1" w:lastColumn="0" w:noHBand="0" w:noVBand="1"/>
      </w:tblPr>
      <w:tblGrid>
        <w:gridCol w:w="1625"/>
        <w:gridCol w:w="2452"/>
        <w:gridCol w:w="1843"/>
        <w:gridCol w:w="3368"/>
      </w:tblGrid>
      <w:tr w:rsidR="006A48B9" w:rsidTr="003D7C5D">
        <w:tc>
          <w:tcPr>
            <w:tcW w:w="1625" w:type="dxa"/>
          </w:tcPr>
          <w:p w:rsidR="006A48B9" w:rsidRDefault="006A48B9" w:rsidP="00A76BFA">
            <w:pPr>
              <w:rPr>
                <w:rFonts w:ascii="Comic Sans MS" w:hAnsi="Comic Sans MS"/>
              </w:rPr>
            </w:pPr>
            <w:r>
              <w:rPr>
                <w:rFonts w:ascii="Comic Sans MS" w:hAnsi="Comic Sans MS"/>
              </w:rPr>
              <w:t>Acteurs</w:t>
            </w:r>
          </w:p>
        </w:tc>
        <w:tc>
          <w:tcPr>
            <w:tcW w:w="2452" w:type="dxa"/>
          </w:tcPr>
          <w:p w:rsidR="006A48B9" w:rsidRDefault="006A48B9" w:rsidP="00A76BFA">
            <w:pPr>
              <w:rPr>
                <w:rFonts w:ascii="Comic Sans MS" w:hAnsi="Comic Sans MS"/>
              </w:rPr>
            </w:pPr>
            <w:r>
              <w:rPr>
                <w:rFonts w:ascii="Comic Sans MS" w:hAnsi="Comic Sans MS"/>
              </w:rPr>
              <w:t>Rôle</w:t>
            </w:r>
          </w:p>
        </w:tc>
        <w:tc>
          <w:tcPr>
            <w:tcW w:w="1843" w:type="dxa"/>
          </w:tcPr>
          <w:p w:rsidR="006A48B9" w:rsidRDefault="006A48B9" w:rsidP="00A76BFA">
            <w:pPr>
              <w:rPr>
                <w:rFonts w:ascii="Comic Sans MS" w:hAnsi="Comic Sans MS"/>
              </w:rPr>
            </w:pPr>
            <w:r>
              <w:rPr>
                <w:rFonts w:ascii="Comic Sans MS" w:hAnsi="Comic Sans MS"/>
              </w:rPr>
              <w:t>Opportunité ou menace</w:t>
            </w:r>
          </w:p>
        </w:tc>
        <w:tc>
          <w:tcPr>
            <w:tcW w:w="3368" w:type="dxa"/>
          </w:tcPr>
          <w:p w:rsidR="006A48B9" w:rsidRDefault="006A48B9" w:rsidP="00A76BFA">
            <w:pPr>
              <w:rPr>
                <w:rFonts w:ascii="Comic Sans MS" w:hAnsi="Comic Sans MS"/>
              </w:rPr>
            </w:pPr>
            <w:r>
              <w:rPr>
                <w:rFonts w:ascii="Comic Sans MS" w:hAnsi="Comic Sans MS"/>
              </w:rPr>
              <w:t>Source</w:t>
            </w:r>
          </w:p>
        </w:tc>
      </w:tr>
      <w:tr w:rsidR="006A48B9" w:rsidTr="003D7C5D">
        <w:trPr>
          <w:trHeight w:val="778"/>
        </w:trPr>
        <w:tc>
          <w:tcPr>
            <w:tcW w:w="1625" w:type="dxa"/>
          </w:tcPr>
          <w:p w:rsidR="006A48B9" w:rsidRDefault="005E4DD3" w:rsidP="00A76BFA">
            <w:pPr>
              <w:rPr>
                <w:rFonts w:ascii="Comic Sans MS" w:hAnsi="Comic Sans MS"/>
              </w:rPr>
            </w:pPr>
            <w:r>
              <w:rPr>
                <w:rFonts w:ascii="Comic Sans MS" w:hAnsi="Comic Sans MS"/>
              </w:rPr>
              <w:t>Commerciaux : les prescripteurs</w:t>
            </w:r>
          </w:p>
        </w:tc>
        <w:tc>
          <w:tcPr>
            <w:tcW w:w="2452" w:type="dxa"/>
          </w:tcPr>
          <w:p w:rsidR="006A48B9" w:rsidRDefault="005E4DD3" w:rsidP="003815BC">
            <w:pPr>
              <w:pStyle w:val="Titre2"/>
              <w:rPr>
                <w:rFonts w:ascii="Comic Sans MS" w:hAnsi="Comic Sans MS"/>
              </w:rPr>
            </w:pPr>
            <w:r w:rsidRPr="003815BC">
              <w:rPr>
                <w:rFonts w:ascii="Comic Sans MS" w:eastAsiaTheme="minorHAnsi" w:hAnsi="Comic Sans MS" w:cstheme="minorBidi"/>
                <w:b w:val="0"/>
                <w:bCs w:val="0"/>
                <w:sz w:val="22"/>
                <w:szCs w:val="22"/>
                <w:lang w:eastAsia="en-US"/>
              </w:rPr>
              <w:t xml:space="preserve">Influence les comportements d’achat : </w:t>
            </w:r>
            <w:r w:rsidR="003D7C5D" w:rsidRPr="003815BC">
              <w:rPr>
                <w:rFonts w:ascii="Comic Sans MS" w:eastAsiaTheme="minorHAnsi" w:hAnsi="Comic Sans MS" w:cstheme="minorBidi"/>
                <w:b w:val="0"/>
                <w:bCs w:val="0"/>
                <w:sz w:val="22"/>
                <w:szCs w:val="22"/>
                <w:lang w:eastAsia="en-US"/>
              </w:rPr>
              <w:t>les réseaux sociaux (Instagram notamment</w:t>
            </w:r>
            <w:r w:rsidR="003815BC" w:rsidRPr="003815BC">
              <w:rPr>
                <w:rFonts w:ascii="Comic Sans MS" w:eastAsiaTheme="minorHAnsi" w:hAnsi="Comic Sans MS" w:cstheme="minorBidi"/>
                <w:b w:val="0"/>
                <w:bCs w:val="0"/>
                <w:sz w:val="22"/>
                <w:szCs w:val="22"/>
                <w:lang w:eastAsia="en-US"/>
              </w:rPr>
              <w:t xml:space="preserve"> avec des instagrameurs comme : kimjunggius</w:t>
            </w:r>
            <w:r w:rsidR="003815BC">
              <w:rPr>
                <w:rFonts w:ascii="Comic Sans MS" w:eastAsiaTheme="minorHAnsi" w:hAnsi="Comic Sans MS" w:cstheme="minorBidi"/>
                <w:b w:val="0"/>
                <w:bCs w:val="0"/>
                <w:sz w:val="22"/>
                <w:szCs w:val="22"/>
                <w:lang w:eastAsia="en-US"/>
              </w:rPr>
              <w:t xml:space="preserve">, </w:t>
            </w:r>
            <w:r w:rsidR="003815BC" w:rsidRPr="003815BC">
              <w:rPr>
                <w:rFonts w:ascii="Comic Sans MS" w:eastAsiaTheme="minorHAnsi" w:hAnsi="Comic Sans MS" w:cstheme="minorBidi"/>
                <w:b w:val="0"/>
                <w:bCs w:val="0"/>
                <w:sz w:val="22"/>
                <w:szCs w:val="22"/>
                <w:lang w:eastAsia="en-US"/>
              </w:rPr>
              <w:t>zep_official</w:t>
            </w:r>
            <w:r w:rsidR="003815BC">
              <w:rPr>
                <w:rFonts w:ascii="Comic Sans MS" w:eastAsiaTheme="minorHAnsi" w:hAnsi="Comic Sans MS" w:cstheme="minorBidi"/>
                <w:b w:val="0"/>
                <w:bCs w:val="0"/>
                <w:sz w:val="22"/>
                <w:szCs w:val="22"/>
                <w:lang w:eastAsia="en-US"/>
              </w:rPr>
              <w:t xml:space="preserve">, </w:t>
            </w:r>
            <w:r w:rsidR="003815BC" w:rsidRPr="003815BC">
              <w:rPr>
                <w:rFonts w:ascii="Comic Sans MS" w:eastAsiaTheme="minorHAnsi" w:hAnsi="Comic Sans MS" w:cstheme="minorBidi"/>
                <w:b w:val="0"/>
                <w:bCs w:val="0"/>
                <w:sz w:val="22"/>
                <w:szCs w:val="22"/>
                <w:lang w:eastAsia="en-US"/>
              </w:rPr>
              <w:t>inouetake_</w:t>
            </w:r>
            <w:r w:rsidR="003815BC">
              <w:rPr>
                <w:rFonts w:ascii="Comic Sans MS" w:eastAsiaTheme="minorHAnsi" w:hAnsi="Comic Sans MS" w:cstheme="minorBidi"/>
                <w:b w:val="0"/>
                <w:bCs w:val="0"/>
                <w:sz w:val="22"/>
                <w:szCs w:val="22"/>
                <w:lang w:eastAsia="en-US"/>
              </w:rPr>
              <w:t xml:space="preserve">, </w:t>
            </w:r>
            <w:r w:rsidR="003815BC" w:rsidRPr="003815BC">
              <w:rPr>
                <w:rFonts w:ascii="Comic Sans MS" w:eastAsiaTheme="minorHAnsi" w:hAnsi="Comic Sans MS" w:cstheme="minorBidi"/>
                <w:b w:val="0"/>
                <w:bCs w:val="0"/>
                <w:sz w:val="22"/>
                <w:szCs w:val="22"/>
                <w:lang w:eastAsia="en-US"/>
              </w:rPr>
              <w:t>aurelie_neyret</w:t>
            </w:r>
            <w:r w:rsidR="003D7C5D" w:rsidRPr="003815BC">
              <w:rPr>
                <w:rFonts w:ascii="Comic Sans MS" w:eastAsiaTheme="minorHAnsi" w:hAnsi="Comic Sans MS" w:cstheme="minorBidi"/>
                <w:b w:val="0"/>
                <w:bCs w:val="0"/>
                <w:sz w:val="22"/>
                <w:szCs w:val="22"/>
                <w:lang w:eastAsia="en-US"/>
              </w:rPr>
              <w:t>), les blogs, les magazines ou les videos sur Youtube, font prendre conscience et donnent l’envie d’acheter des BD d’occasion notamment pour patienter dans les lieux publics ou les transports en commun.</w:t>
            </w:r>
          </w:p>
        </w:tc>
        <w:tc>
          <w:tcPr>
            <w:tcW w:w="1843" w:type="dxa"/>
          </w:tcPr>
          <w:p w:rsidR="006A48B9" w:rsidRDefault="005E4DD3" w:rsidP="00A76BFA">
            <w:pPr>
              <w:rPr>
                <w:rFonts w:ascii="Comic Sans MS" w:hAnsi="Comic Sans MS"/>
              </w:rPr>
            </w:pPr>
            <w:r>
              <w:rPr>
                <w:rFonts w:ascii="Comic Sans MS" w:hAnsi="Comic Sans MS"/>
              </w:rPr>
              <w:t>Opportuni</w:t>
            </w:r>
            <w:bookmarkStart w:id="0" w:name="_GoBack"/>
            <w:bookmarkEnd w:id="0"/>
            <w:r>
              <w:rPr>
                <w:rFonts w:ascii="Comic Sans MS" w:hAnsi="Comic Sans MS"/>
              </w:rPr>
              <w:t xml:space="preserve">té </w:t>
            </w:r>
          </w:p>
        </w:tc>
        <w:tc>
          <w:tcPr>
            <w:tcW w:w="3368" w:type="dxa"/>
          </w:tcPr>
          <w:p w:rsidR="006A48B9" w:rsidRDefault="00CB4326" w:rsidP="00A76BFA">
            <w:pPr>
              <w:rPr>
                <w:rFonts w:ascii="Comic Sans MS" w:hAnsi="Comic Sans MS"/>
              </w:rPr>
            </w:pPr>
            <w:hyperlink r:id="rId11" w:history="1">
              <w:r w:rsidR="003D7C5D" w:rsidRPr="006F3BE9">
                <w:rPr>
                  <w:rStyle w:val="Lienhypertexte"/>
                  <w:rFonts w:ascii="Comic Sans MS" w:hAnsi="Comic Sans MS"/>
                </w:rPr>
                <w:t>https://www.ladn.eu/nouveaux-usages/usages-et-style-de-vie/generation-n-nouveaux-consommateurs-numerique/</w:t>
              </w:r>
            </w:hyperlink>
          </w:p>
          <w:p w:rsidR="003D7C5D" w:rsidRDefault="003D7C5D" w:rsidP="00A76BFA">
            <w:pPr>
              <w:rPr>
                <w:rFonts w:ascii="Comic Sans MS" w:hAnsi="Comic Sans MS"/>
              </w:rPr>
            </w:pPr>
          </w:p>
        </w:tc>
      </w:tr>
      <w:tr w:rsidR="006A48B9" w:rsidTr="003D7C5D">
        <w:trPr>
          <w:trHeight w:val="561"/>
        </w:trPr>
        <w:tc>
          <w:tcPr>
            <w:tcW w:w="1625" w:type="dxa"/>
          </w:tcPr>
          <w:p w:rsidR="006A48B9" w:rsidRDefault="003D7C5D" w:rsidP="00A76BFA">
            <w:pPr>
              <w:rPr>
                <w:rFonts w:ascii="Comic Sans MS" w:hAnsi="Comic Sans MS"/>
              </w:rPr>
            </w:pPr>
            <w:r>
              <w:rPr>
                <w:rFonts w:ascii="Comic Sans MS" w:hAnsi="Comic Sans MS"/>
              </w:rPr>
              <w:t>Financiers : Conseil Régional Nouvelle Aquitaine</w:t>
            </w:r>
          </w:p>
        </w:tc>
        <w:tc>
          <w:tcPr>
            <w:tcW w:w="2452" w:type="dxa"/>
          </w:tcPr>
          <w:p w:rsidR="006A48B9" w:rsidRDefault="003D7C5D" w:rsidP="00A76BFA">
            <w:pPr>
              <w:rPr>
                <w:rFonts w:ascii="Comic Sans MS" w:hAnsi="Comic Sans MS"/>
              </w:rPr>
            </w:pPr>
            <w:r>
              <w:rPr>
                <w:rFonts w:ascii="Comic Sans MS" w:hAnsi="Comic Sans MS"/>
              </w:rPr>
              <w:t xml:space="preserve">Favorise l’investissement : le conseil régional peut octroyer des aides économiques pour aider les libraires dans l’acquisition de mobilier, de matériel ou d’outils liés au </w:t>
            </w:r>
            <w:r>
              <w:rPr>
                <w:rFonts w:ascii="Comic Sans MS" w:hAnsi="Comic Sans MS"/>
              </w:rPr>
              <w:lastRenderedPageBreak/>
              <w:t>secteur de la librairie ainsi que l’acquisition d’un local de vente ou de stockage.</w:t>
            </w:r>
          </w:p>
        </w:tc>
        <w:tc>
          <w:tcPr>
            <w:tcW w:w="1843" w:type="dxa"/>
          </w:tcPr>
          <w:p w:rsidR="006A48B9" w:rsidRDefault="003815BC" w:rsidP="00A76BFA">
            <w:pPr>
              <w:rPr>
                <w:rFonts w:ascii="Comic Sans MS" w:hAnsi="Comic Sans MS"/>
              </w:rPr>
            </w:pPr>
            <w:r>
              <w:rPr>
                <w:rFonts w:ascii="Comic Sans MS" w:hAnsi="Comic Sans MS"/>
              </w:rPr>
              <w:lastRenderedPageBreak/>
              <w:t>Opportunité</w:t>
            </w:r>
          </w:p>
        </w:tc>
        <w:tc>
          <w:tcPr>
            <w:tcW w:w="3368" w:type="dxa"/>
          </w:tcPr>
          <w:p w:rsidR="006A48B9" w:rsidRPr="003D7C5D" w:rsidRDefault="00CB4326" w:rsidP="00A76BFA">
            <w:pPr>
              <w:rPr>
                <w:rStyle w:val="Lienhypertexte"/>
                <w:color w:val="0070C0"/>
              </w:rPr>
            </w:pPr>
            <w:hyperlink r:id="rId12" w:history="1">
              <w:r w:rsidR="003D7C5D" w:rsidRPr="003D7C5D">
                <w:rPr>
                  <w:rStyle w:val="Lienhypertexte"/>
                  <w:rFonts w:ascii="Comic Sans MS" w:hAnsi="Comic Sans MS"/>
                  <w:color w:val="0070C0"/>
                </w:rPr>
                <w:t>https://subventions.fr/organisme/conseil-regional-nouvelle-aquitaine-aquitaine/</w:t>
              </w:r>
            </w:hyperlink>
          </w:p>
          <w:p w:rsidR="003D7C5D" w:rsidRPr="003D7C5D" w:rsidRDefault="003D7C5D" w:rsidP="00A76BFA">
            <w:pPr>
              <w:rPr>
                <w:rFonts w:ascii="Comic Sans MS" w:hAnsi="Comic Sans MS"/>
                <w:color w:val="0070C0"/>
              </w:rPr>
            </w:pPr>
          </w:p>
          <w:p w:rsidR="003D7C5D" w:rsidRPr="003D7C5D" w:rsidRDefault="003D7C5D" w:rsidP="00A76BFA">
            <w:pPr>
              <w:rPr>
                <w:rFonts w:ascii="Comic Sans MS" w:hAnsi="Comic Sans MS"/>
                <w:color w:val="0070C0"/>
              </w:rPr>
            </w:pPr>
          </w:p>
        </w:tc>
      </w:tr>
    </w:tbl>
    <w:p w:rsidR="0092073F" w:rsidRPr="0092073F" w:rsidRDefault="0092073F">
      <w:pPr>
        <w:rPr>
          <w:rFonts w:ascii="Comic Sans MS" w:hAnsi="Comic Sans MS"/>
        </w:rPr>
      </w:pPr>
    </w:p>
    <w:sectPr w:rsidR="0092073F" w:rsidRPr="0092073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26" w:rsidRDefault="00CB4326" w:rsidP="006A48B9">
      <w:pPr>
        <w:spacing w:after="0" w:line="240" w:lineRule="auto"/>
      </w:pPr>
      <w:r>
        <w:separator/>
      </w:r>
    </w:p>
  </w:endnote>
  <w:endnote w:type="continuationSeparator" w:id="0">
    <w:p w:rsidR="00CB4326" w:rsidRDefault="00CB4326" w:rsidP="006A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26" w:rsidRDefault="00CB4326" w:rsidP="006A48B9">
      <w:pPr>
        <w:spacing w:after="0" w:line="240" w:lineRule="auto"/>
      </w:pPr>
      <w:r>
        <w:separator/>
      </w:r>
    </w:p>
  </w:footnote>
  <w:footnote w:type="continuationSeparator" w:id="0">
    <w:p w:rsidR="00CB4326" w:rsidRDefault="00CB4326" w:rsidP="006A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9" w:rsidRDefault="00277FE3" w:rsidP="00277FE3">
    <w:pPr>
      <w:pStyle w:val="En-tte"/>
      <w:tabs>
        <w:tab w:val="left" w:pos="660"/>
      </w:tabs>
    </w:pPr>
    <w:r>
      <w:tab/>
      <w:t>methodepfr@u-bordeaux.fr</w:t>
    </w:r>
    <w:r>
      <w:tab/>
    </w:r>
    <w:r w:rsidR="006A48B9">
      <w:rPr>
        <w:noProof/>
        <w:lang w:eastAsia="fr-FR"/>
      </w:rPr>
      <w:drawing>
        <wp:inline distT="0" distB="0" distL="0" distR="0" wp14:anchorId="0A4C8ADD" wp14:editId="3577E6B9">
          <wp:extent cx="800100" cy="8611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71" cy="86370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3F"/>
    <w:rsid w:val="000C3C3F"/>
    <w:rsid w:val="002100C0"/>
    <w:rsid w:val="00250D23"/>
    <w:rsid w:val="00277FE3"/>
    <w:rsid w:val="002F014C"/>
    <w:rsid w:val="003815BC"/>
    <w:rsid w:val="003A6F23"/>
    <w:rsid w:val="003D2E8F"/>
    <w:rsid w:val="003D7C5D"/>
    <w:rsid w:val="00442619"/>
    <w:rsid w:val="005E4DD3"/>
    <w:rsid w:val="006A48B9"/>
    <w:rsid w:val="007023C7"/>
    <w:rsid w:val="00891AF2"/>
    <w:rsid w:val="008F1688"/>
    <w:rsid w:val="0092073F"/>
    <w:rsid w:val="00997174"/>
    <w:rsid w:val="009B57CE"/>
    <w:rsid w:val="009F1CD5"/>
    <w:rsid w:val="00AB41EA"/>
    <w:rsid w:val="00B50DDB"/>
    <w:rsid w:val="00B96472"/>
    <w:rsid w:val="00C669CD"/>
    <w:rsid w:val="00CB4326"/>
    <w:rsid w:val="00CD283B"/>
    <w:rsid w:val="00CF5B9D"/>
    <w:rsid w:val="00D3666A"/>
    <w:rsid w:val="00DA199A"/>
    <w:rsid w:val="00DC7E0B"/>
    <w:rsid w:val="00DF0A59"/>
    <w:rsid w:val="00E171CC"/>
    <w:rsid w:val="00E924DA"/>
    <w:rsid w:val="00F271CA"/>
    <w:rsid w:val="00F454D0"/>
    <w:rsid w:val="00F57682"/>
    <w:rsid w:val="00F9783A"/>
    <w:rsid w:val="00FC2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815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48B9"/>
    <w:pPr>
      <w:tabs>
        <w:tab w:val="center" w:pos="4536"/>
        <w:tab w:val="right" w:pos="9072"/>
      </w:tabs>
      <w:spacing w:after="0" w:line="240" w:lineRule="auto"/>
    </w:pPr>
  </w:style>
  <w:style w:type="character" w:customStyle="1" w:styleId="En-tteCar">
    <w:name w:val="En-tête Car"/>
    <w:basedOn w:val="Policepardfaut"/>
    <w:link w:val="En-tte"/>
    <w:uiPriority w:val="99"/>
    <w:rsid w:val="006A48B9"/>
  </w:style>
  <w:style w:type="paragraph" w:styleId="Pieddepage">
    <w:name w:val="footer"/>
    <w:basedOn w:val="Normal"/>
    <w:link w:val="PieddepageCar"/>
    <w:uiPriority w:val="99"/>
    <w:unhideWhenUsed/>
    <w:rsid w:val="006A4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8B9"/>
  </w:style>
  <w:style w:type="paragraph" w:styleId="Textedebulles">
    <w:name w:val="Balloon Text"/>
    <w:basedOn w:val="Normal"/>
    <w:link w:val="TextedebullesCar"/>
    <w:uiPriority w:val="99"/>
    <w:semiHidden/>
    <w:unhideWhenUsed/>
    <w:rsid w:val="006A48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8B9"/>
    <w:rPr>
      <w:rFonts w:ascii="Tahoma" w:hAnsi="Tahoma" w:cs="Tahoma"/>
      <w:sz w:val="16"/>
      <w:szCs w:val="16"/>
    </w:rPr>
  </w:style>
  <w:style w:type="paragraph" w:styleId="Paragraphedeliste">
    <w:name w:val="List Paragraph"/>
    <w:basedOn w:val="Normal"/>
    <w:uiPriority w:val="34"/>
    <w:qFormat/>
    <w:rsid w:val="00F271CA"/>
    <w:pPr>
      <w:shd w:val="clear" w:color="auto" w:fill="FFFFFF"/>
      <w:spacing w:after="160" w:line="240" w:lineRule="auto"/>
      <w:ind w:left="720"/>
      <w:contextualSpacing/>
    </w:pPr>
    <w:rPr>
      <w:rFonts w:ascii="Calibri" w:eastAsia="Calibri" w:hAnsi="Calibri" w:cs="Times New Roman"/>
    </w:rPr>
  </w:style>
  <w:style w:type="character" w:styleId="Lienhypertexte">
    <w:name w:val="Hyperlink"/>
    <w:basedOn w:val="Policepardfaut"/>
    <w:uiPriority w:val="99"/>
    <w:unhideWhenUsed/>
    <w:rsid w:val="005E4DD3"/>
    <w:rPr>
      <w:color w:val="0000FF" w:themeColor="hyperlink"/>
      <w:u w:val="single"/>
    </w:rPr>
  </w:style>
  <w:style w:type="character" w:styleId="Lienhypertextesuivivisit">
    <w:name w:val="FollowedHyperlink"/>
    <w:basedOn w:val="Policepardfaut"/>
    <w:uiPriority w:val="99"/>
    <w:semiHidden/>
    <w:unhideWhenUsed/>
    <w:rsid w:val="003D7C5D"/>
    <w:rPr>
      <w:color w:val="800080" w:themeColor="followedHyperlink"/>
      <w:u w:val="single"/>
    </w:rPr>
  </w:style>
  <w:style w:type="character" w:customStyle="1" w:styleId="Titre2Car">
    <w:name w:val="Titre 2 Car"/>
    <w:basedOn w:val="Policepardfaut"/>
    <w:link w:val="Titre2"/>
    <w:uiPriority w:val="9"/>
    <w:rsid w:val="003815BC"/>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815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48B9"/>
    <w:pPr>
      <w:tabs>
        <w:tab w:val="center" w:pos="4536"/>
        <w:tab w:val="right" w:pos="9072"/>
      </w:tabs>
      <w:spacing w:after="0" w:line="240" w:lineRule="auto"/>
    </w:pPr>
  </w:style>
  <w:style w:type="character" w:customStyle="1" w:styleId="En-tteCar">
    <w:name w:val="En-tête Car"/>
    <w:basedOn w:val="Policepardfaut"/>
    <w:link w:val="En-tte"/>
    <w:uiPriority w:val="99"/>
    <w:rsid w:val="006A48B9"/>
  </w:style>
  <w:style w:type="paragraph" w:styleId="Pieddepage">
    <w:name w:val="footer"/>
    <w:basedOn w:val="Normal"/>
    <w:link w:val="PieddepageCar"/>
    <w:uiPriority w:val="99"/>
    <w:unhideWhenUsed/>
    <w:rsid w:val="006A4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8B9"/>
  </w:style>
  <w:style w:type="paragraph" w:styleId="Textedebulles">
    <w:name w:val="Balloon Text"/>
    <w:basedOn w:val="Normal"/>
    <w:link w:val="TextedebullesCar"/>
    <w:uiPriority w:val="99"/>
    <w:semiHidden/>
    <w:unhideWhenUsed/>
    <w:rsid w:val="006A48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8B9"/>
    <w:rPr>
      <w:rFonts w:ascii="Tahoma" w:hAnsi="Tahoma" w:cs="Tahoma"/>
      <w:sz w:val="16"/>
      <w:szCs w:val="16"/>
    </w:rPr>
  </w:style>
  <w:style w:type="paragraph" w:styleId="Paragraphedeliste">
    <w:name w:val="List Paragraph"/>
    <w:basedOn w:val="Normal"/>
    <w:uiPriority w:val="34"/>
    <w:qFormat/>
    <w:rsid w:val="00F271CA"/>
    <w:pPr>
      <w:shd w:val="clear" w:color="auto" w:fill="FFFFFF"/>
      <w:spacing w:after="160" w:line="240" w:lineRule="auto"/>
      <w:ind w:left="720"/>
      <w:contextualSpacing/>
    </w:pPr>
    <w:rPr>
      <w:rFonts w:ascii="Calibri" w:eastAsia="Calibri" w:hAnsi="Calibri" w:cs="Times New Roman"/>
    </w:rPr>
  </w:style>
  <w:style w:type="character" w:styleId="Lienhypertexte">
    <w:name w:val="Hyperlink"/>
    <w:basedOn w:val="Policepardfaut"/>
    <w:uiPriority w:val="99"/>
    <w:unhideWhenUsed/>
    <w:rsid w:val="005E4DD3"/>
    <w:rPr>
      <w:color w:val="0000FF" w:themeColor="hyperlink"/>
      <w:u w:val="single"/>
    </w:rPr>
  </w:style>
  <w:style w:type="character" w:styleId="Lienhypertextesuivivisit">
    <w:name w:val="FollowedHyperlink"/>
    <w:basedOn w:val="Policepardfaut"/>
    <w:uiPriority w:val="99"/>
    <w:semiHidden/>
    <w:unhideWhenUsed/>
    <w:rsid w:val="003D7C5D"/>
    <w:rPr>
      <w:color w:val="800080" w:themeColor="followedHyperlink"/>
      <w:u w:val="single"/>
    </w:rPr>
  </w:style>
  <w:style w:type="character" w:customStyle="1" w:styleId="Titre2Car">
    <w:name w:val="Titre 2 Car"/>
    <w:basedOn w:val="Policepardfaut"/>
    <w:link w:val="Titre2"/>
    <w:uiPriority w:val="9"/>
    <w:rsid w:val="003815BC"/>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40017">
      <w:bodyDiv w:val="1"/>
      <w:marLeft w:val="0"/>
      <w:marRight w:val="0"/>
      <w:marTop w:val="0"/>
      <w:marBottom w:val="0"/>
      <w:divBdr>
        <w:top w:val="none" w:sz="0" w:space="0" w:color="auto"/>
        <w:left w:val="none" w:sz="0" w:space="0" w:color="auto"/>
        <w:bottom w:val="none" w:sz="0" w:space="0" w:color="auto"/>
        <w:right w:val="none" w:sz="0" w:space="0" w:color="auto"/>
      </w:divBdr>
    </w:div>
    <w:div w:id="612978042">
      <w:bodyDiv w:val="1"/>
      <w:marLeft w:val="0"/>
      <w:marRight w:val="0"/>
      <w:marTop w:val="0"/>
      <w:marBottom w:val="0"/>
      <w:divBdr>
        <w:top w:val="none" w:sz="0" w:space="0" w:color="auto"/>
        <w:left w:val="none" w:sz="0" w:space="0" w:color="auto"/>
        <w:bottom w:val="none" w:sz="0" w:space="0" w:color="auto"/>
        <w:right w:val="none" w:sz="0" w:space="0" w:color="auto"/>
      </w:divBdr>
    </w:div>
    <w:div w:id="1168787578">
      <w:bodyDiv w:val="1"/>
      <w:marLeft w:val="0"/>
      <w:marRight w:val="0"/>
      <w:marTop w:val="0"/>
      <w:marBottom w:val="0"/>
      <w:divBdr>
        <w:top w:val="none" w:sz="0" w:space="0" w:color="auto"/>
        <w:left w:val="none" w:sz="0" w:space="0" w:color="auto"/>
        <w:bottom w:val="none" w:sz="0" w:space="0" w:color="auto"/>
        <w:right w:val="none" w:sz="0" w:space="0" w:color="auto"/>
      </w:divBdr>
    </w:div>
    <w:div w:id="1210145357">
      <w:bodyDiv w:val="1"/>
      <w:marLeft w:val="0"/>
      <w:marRight w:val="0"/>
      <w:marTop w:val="0"/>
      <w:marBottom w:val="0"/>
      <w:divBdr>
        <w:top w:val="none" w:sz="0" w:space="0" w:color="auto"/>
        <w:left w:val="none" w:sz="0" w:space="0" w:color="auto"/>
        <w:bottom w:val="none" w:sz="0" w:space="0" w:color="auto"/>
        <w:right w:val="none" w:sz="0" w:space="0" w:color="auto"/>
      </w:divBdr>
    </w:div>
    <w:div w:id="1316029571">
      <w:bodyDiv w:val="1"/>
      <w:marLeft w:val="0"/>
      <w:marRight w:val="0"/>
      <w:marTop w:val="0"/>
      <w:marBottom w:val="0"/>
      <w:divBdr>
        <w:top w:val="none" w:sz="0" w:space="0" w:color="auto"/>
        <w:left w:val="none" w:sz="0" w:space="0" w:color="auto"/>
        <w:bottom w:val="none" w:sz="0" w:space="0" w:color="auto"/>
        <w:right w:val="none" w:sz="0" w:space="0" w:color="auto"/>
      </w:divBdr>
    </w:div>
    <w:div w:id="1588492329">
      <w:bodyDiv w:val="1"/>
      <w:marLeft w:val="0"/>
      <w:marRight w:val="0"/>
      <w:marTop w:val="0"/>
      <w:marBottom w:val="0"/>
      <w:divBdr>
        <w:top w:val="none" w:sz="0" w:space="0" w:color="auto"/>
        <w:left w:val="none" w:sz="0" w:space="0" w:color="auto"/>
        <w:bottom w:val="none" w:sz="0" w:space="0" w:color="auto"/>
        <w:right w:val="none" w:sz="0" w:space="0" w:color="auto"/>
      </w:divBdr>
    </w:div>
    <w:div w:id="16057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bventions.fr/organisme/conseil-regional-nouvelle-aquitaine-aquit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dn.eu/nouveaux-usages/usages-et-style-de-vie/generation-n-nouveaux-consommateurs-numer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irn.info/revue-l-observatoire-2010-2-page-18.htm" TargetMode="External"/><Relationship Id="rId4" Type="http://schemas.openxmlformats.org/officeDocument/2006/relationships/settings" Target="settings.xml"/><Relationship Id="rId9" Type="http://schemas.openxmlformats.org/officeDocument/2006/relationships/hyperlink" Target="https://e-rse.net/consommation-responsable-tendance-marques-247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dc:creator>
  <cp:lastModifiedBy>standard</cp:lastModifiedBy>
  <cp:revision>5</cp:revision>
  <dcterms:created xsi:type="dcterms:W3CDTF">2020-09-17T10:29:00Z</dcterms:created>
  <dcterms:modified xsi:type="dcterms:W3CDTF">2020-10-21T07:25:00Z</dcterms:modified>
</cp:coreProperties>
</file>