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E4" w:rsidRPr="003270E4" w:rsidRDefault="003270E4" w:rsidP="003270E4">
      <w:pPr>
        <w:shd w:val="clear" w:color="auto" w:fill="FFFFFF"/>
        <w:spacing w:after="0" w:line="240" w:lineRule="auto"/>
        <w:jc w:val="center"/>
        <w:textAlignment w:val="baseline"/>
        <w:rPr>
          <w:rFonts w:ascii="Arial" w:eastAsia="Times New Roman" w:hAnsi="Arial" w:cs="Arial"/>
          <w:color w:val="404040"/>
          <w:sz w:val="24"/>
          <w:szCs w:val="24"/>
          <w:lang w:eastAsia="fr-FR"/>
        </w:rPr>
      </w:pPr>
      <w:r w:rsidRPr="003270E4">
        <w:rPr>
          <w:rFonts w:ascii="inherit" w:eastAsia="Times New Roman" w:hAnsi="inherit" w:cs="Arial"/>
          <w:b/>
          <w:bCs/>
          <w:color w:val="404040"/>
          <w:sz w:val="24"/>
          <w:szCs w:val="24"/>
          <w:bdr w:val="none" w:sz="0" w:space="0" w:color="auto" w:frame="1"/>
          <w:lang w:eastAsia="fr-FR"/>
        </w:rPr>
        <w:t>DE 1.2</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Utiliser des arguments tirés du cours, en fonction des facteurs qui sont cités pour chaque force, ne pas oublier notamment le lien entre la conclusion de la rivalité et l’intensité de la menace NE</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Suivre l’ordre d’analyse des forces : l’analyse de la rivalité doit être reprise dans l’analyse de la menace des NE et que l’analyse des PS doit être reprise dans l’analyse du pouvoir des clients</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Attention à la cohérence entre les produits des marchés principaux et les entreprises citées dans l’analyse de la rivalité, incohérence entre les PS du doc 1.1</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Citer un exemple de NE</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xml:space="preserve">Penser à argumenter sur la menace que représentent les </w:t>
      </w:r>
      <w:proofErr w:type="gramStart"/>
      <w:r w:rsidR="000C7741">
        <w:rPr>
          <w:rFonts w:ascii="inherit" w:eastAsia="Times New Roman" w:hAnsi="inherit" w:cs="Arial"/>
          <w:color w:val="404040"/>
          <w:sz w:val="24"/>
          <w:szCs w:val="24"/>
          <w:lang w:eastAsia="fr-FR"/>
        </w:rPr>
        <w:t>N</w:t>
      </w:r>
      <w:r w:rsidRPr="003270E4">
        <w:rPr>
          <w:rFonts w:ascii="inherit" w:eastAsia="Times New Roman" w:hAnsi="inherit" w:cs="Arial"/>
          <w:color w:val="404040"/>
          <w:sz w:val="24"/>
          <w:szCs w:val="24"/>
          <w:lang w:eastAsia="fr-FR"/>
        </w:rPr>
        <w:t>E en</w:t>
      </w:r>
      <w:proofErr w:type="gramEnd"/>
      <w:r w:rsidRPr="003270E4">
        <w:rPr>
          <w:rFonts w:ascii="inherit" w:eastAsia="Times New Roman" w:hAnsi="inherit" w:cs="Arial"/>
          <w:color w:val="404040"/>
          <w:sz w:val="24"/>
          <w:szCs w:val="24"/>
          <w:lang w:eastAsia="fr-FR"/>
        </w:rPr>
        <w:t xml:space="preserve"> fonction d’importance de la rivalité.</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xml:space="preserve">Ne pas </w:t>
      </w:r>
      <w:r w:rsidR="000C7741" w:rsidRPr="003270E4">
        <w:rPr>
          <w:rFonts w:ascii="inherit" w:eastAsia="Times New Roman" w:hAnsi="inherit" w:cs="Arial"/>
          <w:color w:val="404040"/>
          <w:sz w:val="24"/>
          <w:szCs w:val="24"/>
          <w:lang w:eastAsia="fr-FR"/>
        </w:rPr>
        <w:t>confondre les</w:t>
      </w:r>
      <w:r w:rsidRPr="003270E4">
        <w:rPr>
          <w:rFonts w:ascii="inherit" w:eastAsia="Times New Roman" w:hAnsi="inherit" w:cs="Arial"/>
          <w:color w:val="404040"/>
          <w:sz w:val="24"/>
          <w:szCs w:val="24"/>
          <w:lang w:eastAsia="fr-FR"/>
        </w:rPr>
        <w:t xml:space="preserve"> fournisseurs et les distributeurs dans l’analyse des forces concurrentielles</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xml:space="preserve">Pas d’analyse </w:t>
      </w:r>
      <w:r w:rsidR="000C7741" w:rsidRPr="003270E4">
        <w:rPr>
          <w:rFonts w:ascii="inherit" w:eastAsia="Times New Roman" w:hAnsi="inherit" w:cs="Arial"/>
          <w:color w:val="404040"/>
          <w:sz w:val="24"/>
          <w:szCs w:val="24"/>
          <w:lang w:eastAsia="fr-FR"/>
        </w:rPr>
        <w:t>de la</w:t>
      </w:r>
      <w:r w:rsidRPr="003270E4">
        <w:rPr>
          <w:rFonts w:ascii="inherit" w:eastAsia="Times New Roman" w:hAnsi="inherit" w:cs="Arial"/>
          <w:color w:val="404040"/>
          <w:sz w:val="24"/>
          <w:szCs w:val="24"/>
          <w:lang w:eastAsia="fr-FR"/>
        </w:rPr>
        <w:t xml:space="preserve"> menace des produits substituts quand le PFR est placé sur un marché substitut et qu’il est le seul.</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xml:space="preserve">Quand </w:t>
      </w:r>
      <w:r w:rsidR="000C7741" w:rsidRPr="003270E4">
        <w:rPr>
          <w:rFonts w:ascii="inherit" w:eastAsia="Times New Roman" w:hAnsi="inherit" w:cs="Arial"/>
          <w:color w:val="404040"/>
          <w:sz w:val="24"/>
          <w:szCs w:val="24"/>
          <w:lang w:eastAsia="fr-FR"/>
        </w:rPr>
        <w:t>le PFR est</w:t>
      </w:r>
      <w:r w:rsidRPr="003270E4">
        <w:rPr>
          <w:rFonts w:ascii="inherit" w:eastAsia="Times New Roman" w:hAnsi="inherit" w:cs="Arial"/>
          <w:color w:val="404040"/>
          <w:sz w:val="24"/>
          <w:szCs w:val="24"/>
          <w:lang w:eastAsia="fr-FR"/>
        </w:rPr>
        <w:t xml:space="preserve"> placé sur le marché des produits </w:t>
      </w:r>
      <w:r w:rsidR="000C7741" w:rsidRPr="003270E4">
        <w:rPr>
          <w:rFonts w:ascii="inherit" w:eastAsia="Times New Roman" w:hAnsi="inherit" w:cs="Arial"/>
          <w:color w:val="404040"/>
          <w:sz w:val="24"/>
          <w:szCs w:val="24"/>
          <w:lang w:eastAsia="fr-FR"/>
        </w:rPr>
        <w:t>substituts,</w:t>
      </w:r>
      <w:r w:rsidRPr="003270E4">
        <w:rPr>
          <w:rFonts w:ascii="inherit" w:eastAsia="Times New Roman" w:hAnsi="inherit" w:cs="Arial"/>
          <w:color w:val="404040"/>
          <w:sz w:val="24"/>
          <w:szCs w:val="24"/>
          <w:lang w:eastAsia="fr-FR"/>
        </w:rPr>
        <w:t xml:space="preserve"> le pouvoir des   </w:t>
      </w:r>
      <w:r w:rsidR="000C7741" w:rsidRPr="003270E4">
        <w:rPr>
          <w:rFonts w:ascii="inherit" w:eastAsia="Times New Roman" w:hAnsi="inherit" w:cs="Arial"/>
          <w:color w:val="404040"/>
          <w:sz w:val="24"/>
          <w:szCs w:val="24"/>
          <w:lang w:eastAsia="fr-FR"/>
        </w:rPr>
        <w:t>fournisseurs s’exerce</w:t>
      </w:r>
      <w:r w:rsidRPr="003270E4">
        <w:rPr>
          <w:rFonts w:ascii="inherit" w:eastAsia="Times New Roman" w:hAnsi="inherit" w:cs="Arial"/>
          <w:color w:val="404040"/>
          <w:sz w:val="24"/>
          <w:szCs w:val="24"/>
          <w:lang w:eastAsia="fr-FR"/>
        </w:rPr>
        <w:t xml:space="preserve"> sur les marchés principaux sur lesquels s’exerce la rivalité intra sectorielle.</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Il n’y a pas de fournisseurs dans le cas d’une application</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Ne pas se contenter de citer les produits substituts mais analyser en quoi ils remplissent plus ou moins bien et à quel prix le besoin défini dans le MG</w:t>
      </w:r>
    </w:p>
    <w:p w:rsidR="003270E4" w:rsidRPr="003270E4" w:rsidRDefault="003270E4" w:rsidP="000C7741">
      <w:pPr>
        <w:numPr>
          <w:ilvl w:val="0"/>
          <w:numId w:val="1"/>
        </w:numPr>
        <w:shd w:val="clear" w:color="auto" w:fill="FFFFFF"/>
        <w:spacing w:after="0" w:line="240" w:lineRule="auto"/>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xml:space="preserve">Analyse du pouvoir </w:t>
      </w:r>
      <w:r w:rsidR="000C7741" w:rsidRPr="003270E4">
        <w:rPr>
          <w:rFonts w:ascii="inherit" w:eastAsia="Times New Roman" w:hAnsi="inherit" w:cs="Arial"/>
          <w:color w:val="404040"/>
          <w:sz w:val="24"/>
          <w:szCs w:val="24"/>
          <w:lang w:eastAsia="fr-FR"/>
        </w:rPr>
        <w:t>de</w:t>
      </w:r>
      <w:r w:rsidRPr="003270E4">
        <w:rPr>
          <w:rFonts w:ascii="inherit" w:eastAsia="Times New Roman" w:hAnsi="inherit" w:cs="Arial"/>
          <w:color w:val="404040"/>
          <w:sz w:val="24"/>
          <w:szCs w:val="24"/>
          <w:lang w:eastAsia="fr-FR"/>
        </w:rPr>
        <w:t xml:space="preserve"> </w:t>
      </w:r>
      <w:r w:rsidR="000C7741">
        <w:rPr>
          <w:rFonts w:ascii="inherit" w:eastAsia="Times New Roman" w:hAnsi="inherit" w:cs="Arial"/>
          <w:color w:val="404040"/>
          <w:sz w:val="24"/>
          <w:szCs w:val="24"/>
          <w:lang w:eastAsia="fr-FR"/>
        </w:rPr>
        <w:t>c</w:t>
      </w:r>
      <w:r w:rsidRPr="003270E4">
        <w:rPr>
          <w:rFonts w:ascii="inherit" w:eastAsia="Times New Roman" w:hAnsi="inherit" w:cs="Arial"/>
          <w:color w:val="404040"/>
          <w:sz w:val="24"/>
          <w:szCs w:val="24"/>
          <w:lang w:eastAsia="fr-FR"/>
        </w:rPr>
        <w:t xml:space="preserve">hoix des clients en intégrant l’attractivité (la menace) des produits substituts, et en prenant en </w:t>
      </w:r>
      <w:r w:rsidR="000C7741" w:rsidRPr="003270E4">
        <w:rPr>
          <w:rFonts w:ascii="inherit" w:eastAsia="Times New Roman" w:hAnsi="inherit" w:cs="Arial"/>
          <w:color w:val="404040"/>
          <w:sz w:val="24"/>
          <w:szCs w:val="24"/>
          <w:lang w:eastAsia="fr-FR"/>
        </w:rPr>
        <w:t>compte leur</w:t>
      </w:r>
      <w:r w:rsidRPr="003270E4">
        <w:rPr>
          <w:rFonts w:ascii="inherit" w:eastAsia="Times New Roman" w:hAnsi="inherit" w:cs="Arial"/>
          <w:color w:val="404040"/>
          <w:sz w:val="24"/>
          <w:szCs w:val="24"/>
          <w:lang w:eastAsia="fr-FR"/>
        </w:rPr>
        <w:t xml:space="preserve"> nombre (aidez – vous du calcul de la DT</w:t>
      </w:r>
      <w:r w:rsidR="000C7741" w:rsidRPr="003270E4">
        <w:rPr>
          <w:rFonts w:ascii="inherit" w:eastAsia="Times New Roman" w:hAnsi="inherit" w:cs="Arial"/>
          <w:color w:val="404040"/>
          <w:sz w:val="24"/>
          <w:szCs w:val="24"/>
          <w:lang w:eastAsia="fr-FR"/>
        </w:rPr>
        <w:t>).</w:t>
      </w:r>
    </w:p>
    <w:p w:rsidR="003270E4" w:rsidRPr="003270E4" w:rsidRDefault="003270E4" w:rsidP="000C7741">
      <w:pPr>
        <w:shd w:val="clear" w:color="auto" w:fill="FFFFFF"/>
        <w:spacing w:after="0" w:line="240" w:lineRule="auto"/>
        <w:ind w:left="720"/>
        <w:jc w:val="both"/>
        <w:textAlignment w:val="baseline"/>
        <w:rPr>
          <w:rFonts w:ascii="inherit" w:eastAsia="Times New Roman" w:hAnsi="inherit" w:cs="Arial"/>
          <w:color w:val="404040"/>
          <w:sz w:val="24"/>
          <w:szCs w:val="24"/>
          <w:lang w:eastAsia="fr-FR"/>
        </w:rPr>
      </w:pPr>
      <w:r w:rsidRPr="003270E4">
        <w:rPr>
          <w:rFonts w:ascii="inherit" w:eastAsia="Times New Roman" w:hAnsi="inherit" w:cs="Arial"/>
          <w:color w:val="404040"/>
          <w:sz w:val="24"/>
          <w:szCs w:val="24"/>
          <w:lang w:eastAsia="fr-FR"/>
        </w:rPr>
        <w:t> </w:t>
      </w:r>
    </w:p>
    <w:p w:rsidR="008C41DE" w:rsidRPr="008C41DE" w:rsidRDefault="003270E4" w:rsidP="000C7741">
      <w:pPr>
        <w:shd w:val="clear" w:color="auto" w:fill="FFFFFF"/>
        <w:spacing w:after="0" w:line="240" w:lineRule="auto"/>
        <w:ind w:left="300"/>
        <w:jc w:val="both"/>
        <w:textAlignment w:val="baseline"/>
        <w:rPr>
          <w:rFonts w:ascii="inherit" w:eastAsia="Times New Roman" w:hAnsi="inherit" w:cs="Arial"/>
          <w:color w:val="404040"/>
          <w:sz w:val="24"/>
          <w:szCs w:val="24"/>
          <w:lang w:eastAsia="fr-FR"/>
        </w:rPr>
      </w:pPr>
      <w:bookmarkStart w:id="0" w:name="_GoBack"/>
      <w:bookmarkEnd w:id="0"/>
      <w:r>
        <w:rPr>
          <w:rFonts w:ascii="inherit" w:eastAsia="Times New Roman" w:hAnsi="inherit" w:cs="Arial"/>
          <w:b/>
          <w:bCs/>
          <w:color w:val="404040"/>
          <w:sz w:val="24"/>
          <w:szCs w:val="24"/>
          <w:bdr w:val="none" w:sz="0" w:space="0" w:color="auto" w:frame="1"/>
          <w:lang w:eastAsia="fr-FR"/>
        </w:rPr>
        <w:t xml:space="preserve"> </w:t>
      </w:r>
    </w:p>
    <w:p w:rsidR="00AD0A99" w:rsidRDefault="00AD0A99" w:rsidP="000C7741">
      <w:pPr>
        <w:jc w:val="both"/>
      </w:pPr>
    </w:p>
    <w:sectPr w:rsidR="00AD0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87"/>
    <w:multiLevelType w:val="multilevel"/>
    <w:tmpl w:val="3CD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C359B"/>
    <w:multiLevelType w:val="multilevel"/>
    <w:tmpl w:val="620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DE"/>
    <w:rsid w:val="00056765"/>
    <w:rsid w:val="000C7741"/>
    <w:rsid w:val="003270E4"/>
    <w:rsid w:val="008C41DE"/>
    <w:rsid w:val="00AD0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29B2"/>
  <w15:chartTrackingRefBased/>
  <w15:docId w15:val="{FB0A9B0C-1865-4F3A-8156-1B5038D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70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7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1076584429">
      <w:bodyDiv w:val="1"/>
      <w:marLeft w:val="0"/>
      <w:marRight w:val="0"/>
      <w:marTop w:val="0"/>
      <w:marBottom w:val="0"/>
      <w:divBdr>
        <w:top w:val="none" w:sz="0" w:space="0" w:color="auto"/>
        <w:left w:val="none" w:sz="0" w:space="0" w:color="auto"/>
        <w:bottom w:val="none" w:sz="0" w:space="0" w:color="auto"/>
        <w:right w:val="none" w:sz="0" w:space="0" w:color="auto"/>
      </w:divBdr>
    </w:div>
    <w:div w:id="12477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Madrid</dc:creator>
  <cp:keywords/>
  <dc:description/>
  <cp:lastModifiedBy>Catherine Madrid</cp:lastModifiedBy>
  <cp:revision>3</cp:revision>
  <dcterms:created xsi:type="dcterms:W3CDTF">2023-01-04T14:26:00Z</dcterms:created>
  <dcterms:modified xsi:type="dcterms:W3CDTF">2023-01-04T14:37:00Z</dcterms:modified>
</cp:coreProperties>
</file>