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1DE" w:rsidRPr="008C41DE" w:rsidRDefault="008C41DE" w:rsidP="008C41DE">
      <w:pPr>
        <w:shd w:val="clear" w:color="auto" w:fill="FFFFFF"/>
        <w:spacing w:after="0" w:line="240" w:lineRule="auto"/>
        <w:jc w:val="center"/>
        <w:textAlignment w:val="baseline"/>
        <w:rPr>
          <w:rFonts w:ascii="Arial" w:eastAsia="Times New Roman" w:hAnsi="Arial" w:cs="Arial"/>
          <w:color w:val="404040"/>
          <w:sz w:val="24"/>
          <w:szCs w:val="24"/>
          <w:lang w:eastAsia="fr-FR"/>
        </w:rPr>
      </w:pPr>
      <w:r w:rsidRPr="008C41DE">
        <w:rPr>
          <w:rFonts w:ascii="inherit" w:eastAsia="Times New Roman" w:hAnsi="inherit" w:cs="Arial"/>
          <w:b/>
          <w:bCs/>
          <w:color w:val="404040"/>
          <w:sz w:val="24"/>
          <w:szCs w:val="24"/>
          <w:bdr w:val="none" w:sz="0" w:space="0" w:color="auto" w:frame="1"/>
          <w:lang w:eastAsia="fr-FR"/>
        </w:rPr>
        <w:t>DE 1.1 :</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Attention : Marché générique oublié ou défini sans exprimer un besoin ou de manière trop large ou en réponse à deux besoins = erreur</w:t>
      </w:r>
      <w:r w:rsidR="00336CE3">
        <w:rPr>
          <w:rFonts w:ascii="inherit" w:eastAsia="Times New Roman" w:hAnsi="inherit" w:cs="Arial"/>
          <w:color w:val="404040"/>
          <w:sz w:val="24"/>
          <w:szCs w:val="24"/>
          <w:lang w:eastAsia="fr-FR"/>
        </w:rPr>
        <w:t xml:space="preserve"> grave</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Ne pas oublier de préciser où se situe le PFR sur les marchés de référence</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Bien définir les produits des MP et MS en cohérence avec le MG</w:t>
      </w:r>
    </w:p>
    <w:p w:rsidR="008C41DE" w:rsidRPr="00336CE3" w:rsidRDefault="00336CE3"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Expliquer</w:t>
      </w:r>
      <w:r w:rsidR="008C41DE" w:rsidRPr="008C41DE">
        <w:rPr>
          <w:rFonts w:ascii="inherit" w:eastAsia="Times New Roman" w:hAnsi="inherit" w:cs="Arial"/>
          <w:color w:val="404040"/>
          <w:sz w:val="24"/>
          <w:szCs w:val="24"/>
          <w:lang w:eastAsia="fr-FR"/>
        </w:rPr>
        <w:t xml:space="preserve"> la différence entre les MP er les MS dans le cas de votre produit, </w:t>
      </w:r>
      <w:r w:rsidR="008C41DE" w:rsidRPr="008C41DE">
        <w:rPr>
          <w:rFonts w:ascii="inherit" w:eastAsia="Times New Roman" w:hAnsi="inherit" w:cs="Arial"/>
          <w:i/>
          <w:iCs/>
          <w:color w:val="404040"/>
          <w:sz w:val="24"/>
          <w:szCs w:val="24"/>
          <w:bdr w:val="none" w:sz="0" w:space="0" w:color="auto" w:frame="1"/>
          <w:lang w:eastAsia="fr-FR"/>
        </w:rPr>
        <w:t>c’est à dire indiquer le critère de classement qui vous conduit à placer certains produits en MP et d’autres en MS. NB Le PFR n’est pas sur le MP parce que c’est le PFR.</w:t>
      </w:r>
    </w:p>
    <w:p w:rsidR="00336CE3" w:rsidRPr="008C41DE" w:rsidRDefault="00336CE3" w:rsidP="00673DF0">
      <w:p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La définition des NCR doit </w:t>
      </w:r>
      <w:r w:rsidRPr="008C41DE">
        <w:rPr>
          <w:rFonts w:ascii="inherit" w:eastAsia="Times New Roman" w:hAnsi="inherit" w:cs="Arial"/>
          <w:b/>
          <w:bCs/>
          <w:color w:val="404040"/>
          <w:sz w:val="24"/>
          <w:szCs w:val="24"/>
          <w:bdr w:val="none" w:sz="0" w:space="0" w:color="auto" w:frame="1"/>
          <w:lang w:eastAsia="fr-FR"/>
        </w:rPr>
        <w:t>uniquement</w:t>
      </w:r>
      <w:r w:rsidRPr="008C41DE">
        <w:rPr>
          <w:rFonts w:ascii="inherit" w:eastAsia="Times New Roman" w:hAnsi="inherit" w:cs="Arial"/>
          <w:color w:val="404040"/>
          <w:sz w:val="24"/>
          <w:szCs w:val="24"/>
          <w:lang w:eastAsia="fr-FR"/>
        </w:rPr>
        <w:t> faire référence aux produits des marchés substituts, et celle des clients de la profession en fonction de produits des marchés principaux. </w:t>
      </w:r>
      <w:r w:rsidRPr="008C41DE">
        <w:rPr>
          <w:rFonts w:ascii="inherit" w:eastAsia="Times New Roman" w:hAnsi="inherit" w:cs="Arial"/>
          <w:i/>
          <w:iCs/>
          <w:color w:val="404040"/>
          <w:sz w:val="24"/>
          <w:szCs w:val="24"/>
          <w:bdr w:val="none" w:sz="0" w:space="0" w:color="auto" w:frame="1"/>
          <w:lang w:eastAsia="fr-FR"/>
        </w:rPr>
        <w:t xml:space="preserve">Dans l’exemple du cours, les clients de la profession sont les personnes qui satisfont leur besoin de prendre une image fixe avec un boitier photo (MP) et les non consommateurs relatifs sont les personnes qui satisfont leur besoin de prendre une image fixe avec un </w:t>
      </w:r>
      <w:proofErr w:type="gramStart"/>
      <w:r w:rsidRPr="008C41DE">
        <w:rPr>
          <w:rFonts w:ascii="inherit" w:eastAsia="Times New Roman" w:hAnsi="inherit" w:cs="Arial"/>
          <w:i/>
          <w:iCs/>
          <w:color w:val="404040"/>
          <w:sz w:val="24"/>
          <w:szCs w:val="24"/>
          <w:bdr w:val="none" w:sz="0" w:space="0" w:color="auto" w:frame="1"/>
          <w:lang w:eastAsia="fr-FR"/>
        </w:rPr>
        <w:t>smartphone ,</w:t>
      </w:r>
      <w:proofErr w:type="gramEnd"/>
      <w:r w:rsidRPr="008C41DE">
        <w:rPr>
          <w:rFonts w:ascii="inherit" w:eastAsia="Times New Roman" w:hAnsi="inherit" w:cs="Arial"/>
          <w:i/>
          <w:iCs/>
          <w:color w:val="404040"/>
          <w:sz w:val="24"/>
          <w:szCs w:val="24"/>
          <w:bdr w:val="none" w:sz="0" w:space="0" w:color="auto" w:frame="1"/>
          <w:lang w:eastAsia="fr-FR"/>
        </w:rPr>
        <w:t xml:space="preserve"> un drone ou une tablette (MS)</w:t>
      </w:r>
      <w:r w:rsidRPr="008C41DE">
        <w:rPr>
          <w:rFonts w:ascii="inherit" w:eastAsia="Times New Roman" w:hAnsi="inherit" w:cs="Arial"/>
          <w:color w:val="404040"/>
          <w:sz w:val="24"/>
          <w:szCs w:val="24"/>
          <w:lang w:eastAsia="fr-FR"/>
        </w:rPr>
        <w:t>. Il ne s’agit pas d’indiquer l’âge, le revenu ou d’autres caractéristiques de ces personnes.</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Ne pas oublier de mentionner la possession d’un smartphone dans le cadre du calcul de la DT si le PFR est un objet connecté ou d’autres produits sur les M.C.</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Dans la définition des NCA </w:t>
      </w:r>
      <w:r w:rsidRPr="008C41DE">
        <w:rPr>
          <w:rFonts w:ascii="inherit" w:eastAsia="Times New Roman" w:hAnsi="inherit" w:cs="Arial"/>
          <w:b/>
          <w:bCs/>
          <w:color w:val="404040"/>
          <w:sz w:val="24"/>
          <w:szCs w:val="24"/>
          <w:bdr w:val="none" w:sz="0" w:space="0" w:color="auto" w:frame="1"/>
          <w:lang w:eastAsia="fr-FR"/>
        </w:rPr>
        <w:t>combiner les différents profils</w:t>
      </w:r>
      <w:r w:rsidRPr="008C41DE">
        <w:rPr>
          <w:rFonts w:ascii="inherit" w:eastAsia="Times New Roman" w:hAnsi="inherit" w:cs="Arial"/>
          <w:color w:val="404040"/>
          <w:sz w:val="24"/>
          <w:szCs w:val="24"/>
          <w:lang w:eastAsia="fr-FR"/>
        </w:rPr>
        <w:t> : exemple pour une application qui permet de gagner du temps : NCA = les Français qui n’aiment pas gagner du temps et ceux qui aiment gagner du temps et n’ont pas de smartphone </w:t>
      </w:r>
      <w:r w:rsidRPr="008C41DE">
        <w:rPr>
          <w:rFonts w:ascii="inherit" w:eastAsia="Times New Roman" w:hAnsi="inherit" w:cs="Arial"/>
          <w:b/>
          <w:bCs/>
          <w:color w:val="404040"/>
          <w:sz w:val="24"/>
          <w:szCs w:val="24"/>
          <w:bdr w:val="none" w:sz="0" w:space="0" w:color="auto" w:frame="1"/>
          <w:lang w:eastAsia="fr-FR"/>
        </w:rPr>
        <w:t>et non ceux qui n’ont pas de smartphone et ceux qui ne veulent pas gagner du temps</w:t>
      </w:r>
      <w:r w:rsidRPr="008C41DE">
        <w:rPr>
          <w:rFonts w:ascii="inherit" w:eastAsia="Times New Roman" w:hAnsi="inherit" w:cs="Arial"/>
          <w:color w:val="404040"/>
          <w:sz w:val="24"/>
          <w:szCs w:val="24"/>
          <w:lang w:eastAsia="fr-FR"/>
        </w:rPr>
        <w:t>.</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Dans la définition des NCA </w:t>
      </w:r>
      <w:r w:rsidRPr="008C41DE">
        <w:rPr>
          <w:rFonts w:ascii="inherit" w:eastAsia="Times New Roman" w:hAnsi="inherit" w:cs="Arial"/>
          <w:b/>
          <w:bCs/>
          <w:color w:val="404040"/>
          <w:sz w:val="24"/>
          <w:szCs w:val="24"/>
          <w:bdr w:val="none" w:sz="0" w:space="0" w:color="auto" w:frame="1"/>
          <w:lang w:eastAsia="fr-FR"/>
        </w:rPr>
        <w:t>combiner </w:t>
      </w:r>
      <w:r w:rsidRPr="008C41DE">
        <w:rPr>
          <w:rFonts w:ascii="inherit" w:eastAsia="Times New Roman" w:hAnsi="inherit" w:cs="Arial"/>
          <w:color w:val="404040"/>
          <w:sz w:val="24"/>
          <w:szCs w:val="24"/>
          <w:lang w:eastAsia="fr-FR"/>
        </w:rPr>
        <w:t>les différents profils en mentionnant en priorité les personnes qui ne ressentent pas le besoin : exemple pour une application qui permet de gagner du temps : NCA = les Français qui n’aiment pas gagner du temps et ceux qui aiment gagner du temps et n’ont pas de smartphone </w:t>
      </w:r>
      <w:r w:rsidRPr="008C41DE">
        <w:rPr>
          <w:rFonts w:ascii="inherit" w:eastAsia="Times New Roman" w:hAnsi="inherit" w:cs="Arial"/>
          <w:b/>
          <w:bCs/>
          <w:color w:val="404040"/>
          <w:sz w:val="24"/>
          <w:szCs w:val="24"/>
          <w:bdr w:val="none" w:sz="0" w:space="0" w:color="auto" w:frame="1"/>
          <w:lang w:eastAsia="fr-FR"/>
        </w:rPr>
        <w:t>et non ceux qui n’ont pas de smartphone et ceux qui en ont un et ne veulent pas gagner du temps</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Ne pas confondre les téléphones et les smartphones</w:t>
      </w:r>
    </w:p>
    <w:p w:rsid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La définition des NCA et leur calcul doivent être cohérents</w:t>
      </w:r>
    </w:p>
    <w:p w:rsidR="00336CE3" w:rsidRPr="008C41DE" w:rsidRDefault="00336CE3" w:rsidP="00673DF0">
      <w:p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Le calcul de la demande doit être très clairement détaillé.</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&gt;&gt; voir à ce sujet </w:t>
      </w:r>
      <w:hyperlink r:id="rId5" w:history="1">
        <w:r w:rsidRPr="008C41DE">
          <w:rPr>
            <w:rFonts w:ascii="inherit" w:eastAsia="Times New Roman" w:hAnsi="inherit" w:cs="Arial"/>
            <w:color w:val="1B8BE0"/>
            <w:sz w:val="24"/>
            <w:szCs w:val="24"/>
            <w:u w:val="single"/>
            <w:bdr w:val="none" w:sz="0" w:space="0" w:color="auto" w:frame="1"/>
            <w:lang w:eastAsia="fr-FR"/>
          </w:rPr>
          <w:t>un exemple </w:t>
        </w:r>
      </w:hyperlink>
      <w:r w:rsidRPr="008C41DE">
        <w:rPr>
          <w:rFonts w:ascii="inherit" w:eastAsia="Times New Roman" w:hAnsi="inherit" w:cs="Arial"/>
          <w:i/>
          <w:iCs/>
          <w:color w:val="404040"/>
          <w:sz w:val="24"/>
          <w:szCs w:val="24"/>
          <w:bdr w:val="none" w:sz="0" w:space="0" w:color="auto" w:frame="1"/>
          <w:lang w:eastAsia="fr-FR"/>
        </w:rPr>
        <w:t>rédigé par Mathieu Daguet promo 2021 Bordeaux Sciences Agro</w:t>
      </w:r>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proofErr w:type="gramStart"/>
      <w:r w:rsidRPr="008C41DE">
        <w:rPr>
          <w:rFonts w:ascii="inherit" w:eastAsia="Times New Roman" w:hAnsi="inherit" w:cs="Arial"/>
          <w:color w:val="404040"/>
          <w:sz w:val="24"/>
          <w:szCs w:val="24"/>
          <w:lang w:eastAsia="fr-FR"/>
        </w:rPr>
        <w:t>les</w:t>
      </w:r>
      <w:proofErr w:type="gramEnd"/>
      <w:r w:rsidRPr="008C41DE">
        <w:rPr>
          <w:rFonts w:ascii="inherit" w:eastAsia="Times New Roman" w:hAnsi="inherit" w:cs="Arial"/>
          <w:color w:val="404040"/>
          <w:sz w:val="24"/>
          <w:szCs w:val="24"/>
          <w:lang w:eastAsia="fr-FR"/>
        </w:rPr>
        <w:t xml:space="preserve"> % doivent être appliqués de manière combinée dans le calcul des NCA : exemple si 66 millions de Français et 20 % veulent gagner du temps et 25 % n’ont pas de smartphone </w:t>
      </w:r>
      <w:r w:rsidRPr="008C41DE">
        <w:rPr>
          <w:rFonts w:ascii="inherit" w:eastAsia="Times New Roman" w:hAnsi="inherit" w:cs="Arial"/>
          <w:i/>
          <w:iCs/>
          <w:color w:val="404040"/>
          <w:sz w:val="24"/>
          <w:szCs w:val="24"/>
          <w:bdr w:val="none" w:sz="0" w:space="0" w:color="auto" w:frame="1"/>
          <w:lang w:eastAsia="fr-FR"/>
        </w:rPr>
        <w:t>le nombre de personnes souhaitant gagner du temps mais sans smartphone est 66 millions x 0,2 X 0,25</w:t>
      </w:r>
      <w:r w:rsidRPr="008C41DE">
        <w:rPr>
          <w:rFonts w:ascii="inherit" w:eastAsia="Times New Roman" w:hAnsi="inherit" w:cs="Arial"/>
          <w:color w:val="404040"/>
          <w:sz w:val="24"/>
          <w:szCs w:val="24"/>
          <w:lang w:eastAsia="fr-FR"/>
        </w:rPr>
        <w:t> </w:t>
      </w:r>
      <w:r w:rsidRPr="008C41DE">
        <w:rPr>
          <w:rFonts w:ascii="inherit" w:eastAsia="Times New Roman" w:hAnsi="inherit" w:cs="Arial"/>
          <w:b/>
          <w:bCs/>
          <w:color w:val="404040"/>
          <w:sz w:val="24"/>
          <w:szCs w:val="24"/>
          <w:bdr w:val="none" w:sz="0" w:space="0" w:color="auto" w:frame="1"/>
          <w:lang w:eastAsia="fr-FR"/>
        </w:rPr>
        <w:t>et non 66 millions x 0,25 et non 66 millions – 66 X 0,20 – 66 millions x 0,25</w:t>
      </w:r>
    </w:p>
    <w:p w:rsidR="008C41DE" w:rsidRPr="008C41DE" w:rsidRDefault="00673DF0"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hyperlink r:id="rId6" w:tgtFrame="_blank" w:history="1">
        <w:r w:rsidR="008C41DE" w:rsidRPr="008C41DE">
          <w:rPr>
            <w:rFonts w:ascii="inherit" w:eastAsia="Times New Roman" w:hAnsi="inherit" w:cs="Arial"/>
            <w:b/>
            <w:bCs/>
            <w:color w:val="1B8BE0"/>
            <w:sz w:val="24"/>
            <w:szCs w:val="24"/>
            <w:u w:val="single"/>
            <w:bdr w:val="none" w:sz="0" w:space="0" w:color="auto" w:frame="1"/>
            <w:lang w:eastAsia="fr-FR"/>
          </w:rPr>
          <w:t>aide en vidéo</w:t>
        </w:r>
      </w:hyperlink>
    </w:p>
    <w:p w:rsidR="008C41DE" w:rsidRPr="008C41DE" w:rsidRDefault="008C41DE" w:rsidP="00673DF0">
      <w:pPr>
        <w:numPr>
          <w:ilvl w:val="0"/>
          <w:numId w:val="1"/>
        </w:num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r w:rsidRPr="008C41DE">
        <w:rPr>
          <w:rFonts w:ascii="inherit" w:eastAsia="Times New Roman" w:hAnsi="inherit" w:cs="Arial"/>
          <w:color w:val="404040"/>
          <w:sz w:val="24"/>
          <w:szCs w:val="24"/>
          <w:lang w:eastAsia="fr-FR"/>
        </w:rPr>
        <w:t>&gt;&gt;</w:t>
      </w:r>
      <w:hyperlink r:id="rId7" w:history="1">
        <w:r w:rsidRPr="008C41DE">
          <w:rPr>
            <w:rFonts w:ascii="inherit" w:eastAsia="Times New Roman" w:hAnsi="inherit" w:cs="Arial"/>
            <w:b/>
            <w:bCs/>
            <w:color w:val="1B8BE0"/>
            <w:sz w:val="24"/>
            <w:szCs w:val="24"/>
            <w:u w:val="single"/>
            <w:bdr w:val="none" w:sz="0" w:space="0" w:color="auto" w:frame="1"/>
            <w:lang w:eastAsia="fr-FR"/>
          </w:rPr>
          <w:t>aide complémentaire pour NCA</w:t>
        </w:r>
      </w:hyperlink>
    </w:p>
    <w:p w:rsidR="00AD0A99" w:rsidRDefault="00AD0A99" w:rsidP="00673DF0">
      <w:pPr>
        <w:jc w:val="both"/>
      </w:pPr>
      <w:bookmarkStart w:id="0" w:name="_GoBack"/>
      <w:bookmarkEnd w:id="0"/>
    </w:p>
    <w:sectPr w:rsidR="00AD0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987"/>
    <w:multiLevelType w:val="multilevel"/>
    <w:tmpl w:val="3CD8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DE"/>
    <w:rsid w:val="00056765"/>
    <w:rsid w:val="00336CE3"/>
    <w:rsid w:val="00673DF0"/>
    <w:rsid w:val="008C41DE"/>
    <w:rsid w:val="00AD0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A9B0C-1865-4F3A-8156-1B5038D0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10765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frproduea.cluster020.hosting.ovh.net/wp-content/uploads/excalculnca-1.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frproduea.cluster020.hosting.ovh.net/wp-content/uploads/2021/12/aideNCA.mp4" TargetMode="External"/><Relationship Id="rId5" Type="http://schemas.openxmlformats.org/officeDocument/2006/relationships/hyperlink" Target="http://pfrproduea.cluster020.hosting.ovh.net/de-1-1-mathieu-dagu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Madrid</dc:creator>
  <cp:keywords/>
  <dc:description/>
  <cp:lastModifiedBy>Catherine Madrid</cp:lastModifiedBy>
  <cp:revision>3</cp:revision>
  <dcterms:created xsi:type="dcterms:W3CDTF">2023-01-04T14:23:00Z</dcterms:created>
  <dcterms:modified xsi:type="dcterms:W3CDTF">2023-01-04T15:16:00Z</dcterms:modified>
</cp:coreProperties>
</file>