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1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1"/>
      </w:tblGrid>
      <w:tr w:rsidR="00E9661E" w:rsidRPr="005F563F" w:rsidTr="0010496A">
        <w:trPr>
          <w:trHeight w:val="536"/>
        </w:trPr>
        <w:tc>
          <w:tcPr>
            <w:tcW w:w="11671" w:type="dxa"/>
          </w:tcPr>
          <w:p w:rsidR="00E9661E" w:rsidRPr="0010496A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fr-FR"/>
              </w:rPr>
            </w:pPr>
            <w:r w:rsidRPr="0010496A">
              <w:rPr>
                <w:rFonts w:ascii="Comic Sans MS" w:eastAsia="Times New Roman" w:hAnsi="Comic Sans MS" w:cs="Arial"/>
                <w:b/>
                <w:sz w:val="28"/>
                <w:szCs w:val="28"/>
                <w:lang w:eastAsia="fr-FR"/>
              </w:rPr>
              <w:t>Nom et groupe :</w:t>
            </w:r>
          </w:p>
          <w:p w:rsidR="00E9661E" w:rsidRPr="0010496A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fr-FR"/>
              </w:rPr>
            </w:pPr>
          </w:p>
          <w:p w:rsidR="00E9661E" w:rsidRPr="0010496A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</w:p>
        </w:tc>
      </w:tr>
      <w:tr w:rsidR="00E9661E" w:rsidRPr="005F563F" w:rsidTr="0010496A">
        <w:trPr>
          <w:trHeight w:val="536"/>
        </w:trPr>
        <w:tc>
          <w:tcPr>
            <w:tcW w:w="11671" w:type="dxa"/>
          </w:tcPr>
          <w:p w:rsidR="00E9661E" w:rsidRPr="0010496A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fr-FR"/>
              </w:rPr>
            </w:pPr>
            <w:r w:rsidRPr="0010496A">
              <w:rPr>
                <w:rFonts w:ascii="Comic Sans MS" w:eastAsia="Times New Roman" w:hAnsi="Comic Sans MS" w:cs="Arial"/>
                <w:b/>
                <w:sz w:val="28"/>
                <w:szCs w:val="28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F55045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2.1</w:t>
      </w: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: </w:t>
      </w:r>
      <w:r w:rsidR="003552FF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processus d’achat du consommateur du</w:t>
      </w: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="005B6142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projet</w:t>
      </w:r>
      <w:bookmarkStart w:id="0" w:name="_GoBack"/>
      <w:bookmarkEnd w:id="0"/>
    </w:p>
    <w:p w:rsidR="006172DC" w:rsidRDefault="006172DC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6172DC" w:rsidRDefault="00FE4103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8"/>
          <w:szCs w:val="18"/>
          <w:lang w:eastAsia="fr-FR"/>
        </w:rPr>
      </w:pPr>
      <w:r w:rsidRPr="006172DC">
        <w:rPr>
          <w:rFonts w:ascii="Comic Sans MS" w:eastAsia="Calibri" w:hAnsi="Comic Sans MS" w:cs="Times New Roman"/>
          <w:b/>
          <w:i/>
          <w:sz w:val="18"/>
          <w:szCs w:val="18"/>
        </w:rPr>
        <w:t xml:space="preserve">La </w:t>
      </w:r>
      <w:r w:rsidR="0010496A" w:rsidRPr="006172DC">
        <w:rPr>
          <w:rFonts w:ascii="Comic Sans MS" w:eastAsia="Calibri" w:hAnsi="Comic Sans MS" w:cs="Times New Roman"/>
          <w:b/>
          <w:i/>
          <w:sz w:val="18"/>
          <w:szCs w:val="18"/>
        </w:rPr>
        <w:t>formalisation</w:t>
      </w:r>
      <w:r w:rsidRPr="006172DC">
        <w:rPr>
          <w:rFonts w:ascii="Comic Sans MS" w:eastAsia="Calibri" w:hAnsi="Comic Sans MS" w:cs="Times New Roman"/>
          <w:b/>
          <w:i/>
          <w:sz w:val="18"/>
          <w:szCs w:val="18"/>
        </w:rPr>
        <w:t xml:space="preserve"> de </w:t>
      </w:r>
      <w:r w:rsidR="0010496A" w:rsidRPr="006172DC">
        <w:rPr>
          <w:rFonts w:ascii="Comic Sans MS" w:eastAsia="Calibri" w:hAnsi="Comic Sans MS" w:cs="Times New Roman"/>
          <w:b/>
          <w:i/>
          <w:sz w:val="18"/>
          <w:szCs w:val="18"/>
        </w:rPr>
        <w:t>ce document</w:t>
      </w:r>
      <w:r w:rsidRPr="006172DC">
        <w:rPr>
          <w:rFonts w:ascii="Comic Sans MS" w:eastAsia="Calibri" w:hAnsi="Comic Sans MS" w:cs="Times New Roman"/>
          <w:b/>
          <w:i/>
          <w:sz w:val="18"/>
          <w:szCs w:val="18"/>
        </w:rPr>
        <w:t xml:space="preserve"> consiste à </w:t>
      </w:r>
      <w:r w:rsidR="0010496A" w:rsidRPr="006172DC">
        <w:rPr>
          <w:rFonts w:ascii="Comic Sans MS" w:eastAsia="Calibri" w:hAnsi="Comic Sans MS" w:cs="Times New Roman"/>
          <w:b/>
          <w:i/>
          <w:sz w:val="18"/>
          <w:szCs w:val="18"/>
        </w:rPr>
        <w:t>suivre un cahier des charges précis pour appliquer à votre projet les concepts théoriques de la ressource en lien avec ce D.E.</w:t>
      </w:r>
      <w:r w:rsidR="0010496A" w:rsidRPr="006172DC">
        <w:rPr>
          <w:rFonts w:ascii="Arial" w:eastAsia="Times New Roman" w:hAnsi="Arial" w:cs="Arial"/>
          <w:b/>
          <w:i/>
          <w:color w:val="FF0000"/>
          <w:sz w:val="18"/>
          <w:szCs w:val="18"/>
          <w:lang w:eastAsia="fr-FR"/>
        </w:rPr>
        <w:t xml:space="preserve"> </w:t>
      </w:r>
    </w:p>
    <w:p w:rsidR="00FE4103" w:rsidRDefault="00FE410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39E8EBE4">
            <wp:extent cx="2409825" cy="17094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28" cy="172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103" w:rsidRDefault="00FE410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F659A9" w:rsidRDefault="00F659A9" w:rsidP="00A726B8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E9661E" w:rsidRPr="006172DC" w:rsidRDefault="0010496A" w:rsidP="00A726B8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6172DC">
        <w:rPr>
          <w:rFonts w:ascii="Comic Sans MS" w:eastAsia="Times New Roman" w:hAnsi="Comic Sans MS" w:cs="Arial"/>
          <w:sz w:val="28"/>
          <w:szCs w:val="28"/>
          <w:lang w:eastAsia="fr-FR"/>
        </w:rPr>
        <w:t>Ce D.E. permet l’acquisition des compétences suivantes :</w:t>
      </w:r>
    </w:p>
    <w:p w:rsidR="00E9661E" w:rsidRPr="00A726B8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fr-FR"/>
        </w:rPr>
      </w:pPr>
    </w:p>
    <w:p w:rsidR="00A726B8" w:rsidRPr="00A726B8" w:rsidRDefault="00A726B8" w:rsidP="00A726B8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A726B8">
        <w:rPr>
          <w:rFonts w:ascii="Comic Sans MS" w:eastAsia="Times New Roman" w:hAnsi="Comic Sans MS" w:cs="Arial"/>
          <w:lang w:eastAsia="fr-FR"/>
        </w:rPr>
        <w:t>Caractériser le besoin</w:t>
      </w:r>
    </w:p>
    <w:p w:rsidR="00A726B8" w:rsidRPr="00A726B8" w:rsidRDefault="00A726B8" w:rsidP="00A726B8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A726B8">
        <w:rPr>
          <w:rFonts w:ascii="Comic Sans MS" w:eastAsia="Times New Roman" w:hAnsi="Comic Sans MS" w:cs="Arial"/>
          <w:lang w:eastAsia="fr-FR"/>
        </w:rPr>
        <w:t xml:space="preserve">Répertorier les risques éventuellement perçus associés à l’achat du </w:t>
      </w:r>
      <w:r w:rsidR="006172DC">
        <w:rPr>
          <w:rFonts w:ascii="Comic Sans MS" w:eastAsia="Times New Roman" w:hAnsi="Comic Sans MS" w:cs="Arial"/>
          <w:lang w:eastAsia="fr-FR"/>
        </w:rPr>
        <w:t>PFR</w:t>
      </w:r>
    </w:p>
    <w:p w:rsidR="005C7EE1" w:rsidRPr="00A726B8" w:rsidRDefault="00A726B8" w:rsidP="00A726B8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A726B8">
        <w:rPr>
          <w:rFonts w:ascii="Comic Sans MS" w:eastAsia="Times New Roman" w:hAnsi="Comic Sans MS" w:cs="Arial"/>
          <w:lang w:eastAsia="fr-FR"/>
        </w:rPr>
        <w:t xml:space="preserve">En déduire la durée et la complexité de la décision d’achat   </w:t>
      </w:r>
    </w:p>
    <w:p w:rsidR="005C7EE1" w:rsidRPr="00A726B8" w:rsidRDefault="005C7EE1" w:rsidP="00A726B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C7EE1"/>
    <w:p w:rsidR="00892588" w:rsidRPr="006172DC" w:rsidRDefault="00892588" w:rsidP="00892588">
      <w:pPr>
        <w:rPr>
          <w:rFonts w:ascii="Comic Sans MS" w:hAnsi="Comic Sans MS"/>
          <w:sz w:val="28"/>
          <w:szCs w:val="28"/>
        </w:rPr>
      </w:pPr>
      <w:r w:rsidRPr="006172DC">
        <w:rPr>
          <w:rFonts w:ascii="Comic Sans MS" w:hAnsi="Comic Sans MS"/>
          <w:sz w:val="28"/>
          <w:szCs w:val="28"/>
        </w:rPr>
        <w:lastRenderedPageBreak/>
        <w:t>Activités à mener :</w:t>
      </w:r>
    </w:p>
    <w:p w:rsidR="00892588" w:rsidRPr="00892588" w:rsidRDefault="00892588" w:rsidP="008925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Caractérisation de la durée et la complexité du processus de décision d’achat probable</w:t>
      </w: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FE4103" w:rsidRPr="006172DC" w:rsidRDefault="0010496A" w:rsidP="00FE4103">
      <w:p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6172DC">
        <w:rPr>
          <w:rFonts w:ascii="Comic Sans MS" w:eastAsia="Calibri" w:hAnsi="Comic Sans MS" w:cs="Times New Roman"/>
          <w:sz w:val="28"/>
          <w:szCs w:val="28"/>
        </w:rPr>
        <w:t>Cahier des charges :</w:t>
      </w:r>
    </w:p>
    <w:p w:rsidR="00FE4103" w:rsidRPr="00892588" w:rsidRDefault="0010496A" w:rsidP="008925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92588">
        <w:rPr>
          <w:rFonts w:ascii="Comic Sans MS" w:hAnsi="Comic Sans MS"/>
        </w:rPr>
        <w:t xml:space="preserve">Rédiger </w:t>
      </w:r>
      <w:r w:rsidR="00BE31B6">
        <w:rPr>
          <w:rFonts w:ascii="Comic Sans MS" w:hAnsi="Comic Sans MS"/>
        </w:rPr>
        <w:t>de manière</w:t>
      </w:r>
      <w:r w:rsidR="00892588" w:rsidRPr="00892588">
        <w:rPr>
          <w:rFonts w:ascii="Comic Sans MS" w:hAnsi="Comic Sans MS"/>
        </w:rPr>
        <w:t xml:space="preserve"> professionnel</w:t>
      </w:r>
      <w:r w:rsidR="00BE31B6">
        <w:rPr>
          <w:rFonts w:ascii="Comic Sans MS" w:hAnsi="Comic Sans MS"/>
        </w:rPr>
        <w:t>le</w:t>
      </w:r>
    </w:p>
    <w:p w:rsidR="00892588" w:rsidRPr="0010496A" w:rsidRDefault="00892588" w:rsidP="008925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0496A">
        <w:rPr>
          <w:rFonts w:ascii="Comic Sans MS" w:hAnsi="Comic Sans MS"/>
        </w:rPr>
        <w:t>Indique</w:t>
      </w:r>
      <w:r>
        <w:rPr>
          <w:rFonts w:ascii="Comic Sans MS" w:hAnsi="Comic Sans MS"/>
        </w:rPr>
        <w:t xml:space="preserve">r </w:t>
      </w:r>
      <w:r w:rsidRPr="0010496A">
        <w:rPr>
          <w:rFonts w:ascii="Comic Sans MS" w:hAnsi="Comic Sans MS"/>
        </w:rPr>
        <w:t>et explique</w:t>
      </w:r>
      <w:r>
        <w:rPr>
          <w:rFonts w:ascii="Comic Sans MS" w:hAnsi="Comic Sans MS"/>
        </w:rPr>
        <w:t>r</w:t>
      </w:r>
      <w:r w:rsidRPr="0010496A">
        <w:rPr>
          <w:rFonts w:ascii="Comic Sans MS" w:hAnsi="Comic Sans MS"/>
        </w:rPr>
        <w:t xml:space="preserve"> le ou les niveaux de besoin de la pyramide de Maslow satisfaits par le PFR</w:t>
      </w:r>
    </w:p>
    <w:p w:rsidR="00892588" w:rsidRDefault="00892588" w:rsidP="008925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Qualifier</w:t>
      </w:r>
      <w:r w:rsidRPr="0010496A">
        <w:rPr>
          <w:rFonts w:ascii="Comic Sans MS" w:hAnsi="Comic Sans MS"/>
        </w:rPr>
        <w:t xml:space="preserve"> tous les risques probablement perçus à l’achat du PFR</w:t>
      </w:r>
      <w:r>
        <w:rPr>
          <w:rFonts w:ascii="Comic Sans MS" w:hAnsi="Comic Sans MS"/>
        </w:rPr>
        <w:t xml:space="preserve"> et justifier l’absence éventuelle de certains risques perçus</w:t>
      </w:r>
    </w:p>
    <w:p w:rsidR="00A726B8" w:rsidRDefault="00A726B8" w:rsidP="008925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Identifier le type d’achat</w:t>
      </w:r>
    </w:p>
    <w:p w:rsidR="00892588" w:rsidRPr="0010496A" w:rsidRDefault="00892588" w:rsidP="008925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0496A">
        <w:rPr>
          <w:rFonts w:ascii="Comic Sans MS" w:hAnsi="Comic Sans MS"/>
        </w:rPr>
        <w:t>En déduire la durée et la complexité du processus d’achat du PFR</w:t>
      </w:r>
    </w:p>
    <w:p w:rsidR="00892588" w:rsidRPr="009C6984" w:rsidRDefault="00892588" w:rsidP="00892588">
      <w:pPr>
        <w:shd w:val="clear" w:color="auto" w:fill="FFFFFF"/>
        <w:spacing w:after="16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  <w:szCs w:val="24"/>
        </w:rPr>
      </w:pPr>
    </w:p>
    <w:sectPr w:rsidR="00892588" w:rsidRPr="009C6984" w:rsidSect="006172D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62" w:rsidRDefault="00203C62" w:rsidP="005F563F">
      <w:pPr>
        <w:spacing w:after="0" w:line="240" w:lineRule="auto"/>
      </w:pPr>
      <w:r>
        <w:separator/>
      </w:r>
    </w:p>
  </w:endnote>
  <w:endnote w:type="continuationSeparator" w:id="0">
    <w:p w:rsidR="00203C62" w:rsidRDefault="00203C62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62" w:rsidRDefault="00203C62" w:rsidP="005F563F">
      <w:pPr>
        <w:spacing w:after="0" w:line="240" w:lineRule="auto"/>
      </w:pPr>
      <w:r>
        <w:separator/>
      </w:r>
    </w:p>
  </w:footnote>
  <w:footnote w:type="continuationSeparator" w:id="0">
    <w:p w:rsidR="00203C62" w:rsidRDefault="00203C62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CA715B" w:rsidP="00CA715B">
    <w:pPr>
      <w:pStyle w:val="En-tte"/>
      <w:ind w:firstLine="4248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1E68C33" wp14:editId="549D47A2">
          <wp:simplePos x="0" y="0"/>
          <wp:positionH relativeFrom="column">
            <wp:posOffset>4649415</wp:posOffset>
          </wp:positionH>
          <wp:positionV relativeFrom="line">
            <wp:posOffset>-387433</wp:posOffset>
          </wp:positionV>
          <wp:extent cx="421005" cy="45148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methodepfr@u-bordeaux.fr</w:t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8B5"/>
    <w:multiLevelType w:val="hybridMultilevel"/>
    <w:tmpl w:val="67D00516"/>
    <w:lvl w:ilvl="0" w:tplc="82A455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88A"/>
    <w:multiLevelType w:val="hybridMultilevel"/>
    <w:tmpl w:val="1A9AFB0A"/>
    <w:lvl w:ilvl="0" w:tplc="55D43B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F293F"/>
    <w:multiLevelType w:val="hybridMultilevel"/>
    <w:tmpl w:val="7340D27C"/>
    <w:lvl w:ilvl="0" w:tplc="71C03A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F"/>
    <w:rsid w:val="0010496A"/>
    <w:rsid w:val="00203C62"/>
    <w:rsid w:val="002205F6"/>
    <w:rsid w:val="00353402"/>
    <w:rsid w:val="003552FF"/>
    <w:rsid w:val="003F3980"/>
    <w:rsid w:val="00515EB7"/>
    <w:rsid w:val="005B6142"/>
    <w:rsid w:val="005C7EE1"/>
    <w:rsid w:val="005F563F"/>
    <w:rsid w:val="006172DC"/>
    <w:rsid w:val="006E203B"/>
    <w:rsid w:val="00892588"/>
    <w:rsid w:val="009C470E"/>
    <w:rsid w:val="00A11DEB"/>
    <w:rsid w:val="00A726B8"/>
    <w:rsid w:val="00BE31B6"/>
    <w:rsid w:val="00CA715B"/>
    <w:rsid w:val="00D07363"/>
    <w:rsid w:val="00D5693B"/>
    <w:rsid w:val="00E9661E"/>
    <w:rsid w:val="00F55045"/>
    <w:rsid w:val="00F659A9"/>
    <w:rsid w:val="00F7634D"/>
    <w:rsid w:val="00F84C88"/>
    <w:rsid w:val="00FE410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F79208"/>
  <w15:docId w15:val="{1E3C657D-D430-49D6-9766-C472C510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Laurence Cherel</cp:lastModifiedBy>
  <cp:revision>5</cp:revision>
  <dcterms:created xsi:type="dcterms:W3CDTF">2021-07-08T09:10:00Z</dcterms:created>
  <dcterms:modified xsi:type="dcterms:W3CDTF">2021-07-08T09:47:00Z</dcterms:modified>
</cp:coreProperties>
</file>